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51B09C" w14:textId="77777777" w:rsidR="004556D5" w:rsidRDefault="004556D5">
      <w:pPr>
        <w:pBdr>
          <w:top w:val="nil"/>
          <w:left w:val="nil"/>
          <w:bottom w:val="nil"/>
          <w:right w:val="nil"/>
          <w:between w:val="nil"/>
        </w:pBdr>
        <w:spacing w:after="0" w:line="240" w:lineRule="auto"/>
        <w:rPr>
          <w:rFonts w:ascii="Arial" w:eastAsia="Arial" w:hAnsi="Arial" w:cs="Arial"/>
          <w:b/>
          <w:sz w:val="28"/>
          <w:szCs w:val="28"/>
        </w:rPr>
      </w:pPr>
    </w:p>
    <w:p w14:paraId="2FF1397F" w14:textId="77777777" w:rsidR="004556D5" w:rsidRDefault="00000000">
      <w:pPr>
        <w:pBdr>
          <w:top w:val="nil"/>
          <w:left w:val="nil"/>
          <w:bottom w:val="nil"/>
          <w:right w:val="nil"/>
          <w:between w:val="nil"/>
        </w:pBdr>
        <w:spacing w:after="0" w:line="240" w:lineRule="auto"/>
        <w:jc w:val="center"/>
        <w:rPr>
          <w:rFonts w:ascii="Arial" w:eastAsia="Arial" w:hAnsi="Arial" w:cs="Arial"/>
          <w:b/>
          <w:color w:val="000000"/>
          <w:sz w:val="28"/>
          <w:szCs w:val="28"/>
        </w:rPr>
      </w:pPr>
      <w:r>
        <w:rPr>
          <w:rFonts w:ascii="Arial" w:eastAsia="Arial" w:hAnsi="Arial" w:cs="Arial"/>
          <w:b/>
          <w:color w:val="000000"/>
          <w:sz w:val="28"/>
          <w:szCs w:val="28"/>
        </w:rPr>
        <w:t xml:space="preserve">Fostering student success in clinical environments - what can teachers do? </w:t>
      </w:r>
    </w:p>
    <w:p w14:paraId="54379B65" w14:textId="77777777" w:rsidR="004556D5"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Author:  Cathy Roy </w:t>
      </w:r>
    </w:p>
    <w:p w14:paraId="74515EDC" w14:textId="77777777" w:rsidR="004556D5"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Adaptech Research Network</w:t>
      </w:r>
    </w:p>
    <w:p w14:paraId="70B110B6" w14:textId="77777777" w:rsidR="004556D5" w:rsidRDefault="00000000">
      <w:pPr>
        <w:pBdr>
          <w:top w:val="nil"/>
          <w:left w:val="nil"/>
          <w:bottom w:val="nil"/>
          <w:right w:val="nil"/>
          <w:between w:val="nil"/>
        </w:pBd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May 2024</w:t>
      </w:r>
    </w:p>
    <w:p w14:paraId="53DAFA72" w14:textId="77777777" w:rsidR="004556D5" w:rsidRDefault="004556D5">
      <w:pPr>
        <w:pBdr>
          <w:top w:val="nil"/>
          <w:left w:val="nil"/>
          <w:bottom w:val="nil"/>
          <w:right w:val="nil"/>
          <w:between w:val="nil"/>
        </w:pBdr>
        <w:spacing w:after="0" w:line="240" w:lineRule="auto"/>
        <w:jc w:val="center"/>
        <w:rPr>
          <w:rFonts w:ascii="Times New Roman" w:eastAsia="Times New Roman" w:hAnsi="Times New Roman" w:cs="Times New Roman"/>
          <w:sz w:val="24"/>
          <w:szCs w:val="24"/>
        </w:rPr>
      </w:pPr>
    </w:p>
    <w:p w14:paraId="6F329DCC" w14:textId="6EE94AFC" w:rsidR="004556D5" w:rsidRPr="00D47165" w:rsidRDefault="00000000" w:rsidP="00D47165">
      <w:pPr>
        <w:jc w:val="center"/>
        <w:rPr>
          <w:rFonts w:ascii="Times New Roman" w:eastAsia="Times New Roman" w:hAnsi="Times New Roman" w:cs="Times New Roman"/>
          <w:sz w:val="24"/>
          <w:szCs w:val="24"/>
        </w:rPr>
      </w:pPr>
      <w:r>
        <w:rPr>
          <w:rFonts w:ascii="Calibri" w:eastAsia="Calibri" w:hAnsi="Calibri" w:cs="Calibri"/>
          <w:noProof/>
        </w:rPr>
        <w:drawing>
          <wp:inline distT="0" distB="0" distL="0" distR="0" wp14:anchorId="51B99A47" wp14:editId="58607B8B">
            <wp:extent cx="816299" cy="283929"/>
            <wp:effectExtent l="0" t="0" r="0" b="0"/>
            <wp:docPr id="1935766572" name="image6.jpg" descr="Creative Commons License symbol for Attribution - Non Commercial- No Derivatives 4.0 International. Copyright is &#10;http://creativecommons.org/about &#10;"/>
            <wp:cNvGraphicFramePr/>
            <a:graphic xmlns:a="http://schemas.openxmlformats.org/drawingml/2006/main">
              <a:graphicData uri="http://schemas.openxmlformats.org/drawingml/2006/picture">
                <pic:pic xmlns:pic="http://schemas.openxmlformats.org/drawingml/2006/picture">
                  <pic:nvPicPr>
                    <pic:cNvPr id="0" name="image6.jpg" descr="Creative Commons License symbol for Attribution - Non Commercial- No Derivatives 4.0 International. Copyright is &#10;http://creativecommons.org/about &#10;"/>
                    <pic:cNvPicPr preferRelativeResize="0"/>
                  </pic:nvPicPr>
                  <pic:blipFill>
                    <a:blip r:embed="rId8"/>
                    <a:srcRect/>
                    <a:stretch>
                      <a:fillRect/>
                    </a:stretch>
                  </pic:blipFill>
                  <pic:spPr>
                    <a:xfrm>
                      <a:off x="0" y="0"/>
                      <a:ext cx="816299" cy="283929"/>
                    </a:xfrm>
                    <a:prstGeom prst="rect">
                      <a:avLst/>
                    </a:prstGeom>
                    <a:ln/>
                  </pic:spPr>
                </pic:pic>
              </a:graphicData>
            </a:graphic>
          </wp:inline>
        </w:drawing>
      </w:r>
    </w:p>
    <w:p w14:paraId="40FFE0A8" w14:textId="5002B2BE" w:rsidR="004556D5" w:rsidRDefault="00000000">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The following tips and suggestions come from an unpublished paper by Cathy Roy, a colleague and teacher in Dawson’s Physiotherapy Technology Program.  Cathy’s work encompasses integrating the principles of Universal Design for Learning in clinical education. Here are some practical and helpful approaches to inclusion in clinical education:  </w:t>
      </w:r>
    </w:p>
    <w:p w14:paraId="335A54F7" w14:textId="77777777" w:rsidR="004556D5" w:rsidRDefault="004556D5">
      <w:pPr>
        <w:pBdr>
          <w:top w:val="nil"/>
          <w:left w:val="nil"/>
          <w:bottom w:val="nil"/>
          <w:right w:val="nil"/>
          <w:between w:val="nil"/>
        </w:pBdr>
        <w:spacing w:after="0" w:line="240" w:lineRule="auto"/>
        <w:rPr>
          <w:rFonts w:ascii="Times New Roman" w:eastAsia="Times New Roman" w:hAnsi="Times New Roman" w:cs="Times New Roman"/>
          <w:color w:val="000000"/>
          <w:sz w:val="24"/>
          <w:szCs w:val="24"/>
        </w:rPr>
      </w:pPr>
    </w:p>
    <w:p w14:paraId="2B7A4998" w14:textId="77777777" w:rsidR="004556D5" w:rsidRDefault="00000000">
      <w:pPr>
        <w:rPr>
          <w:rFonts w:ascii="Times New Roman" w:eastAsia="Times New Roman" w:hAnsi="Times New Roman" w:cs="Times New Roman"/>
          <w:b/>
          <w:sz w:val="28"/>
          <w:szCs w:val="28"/>
        </w:rPr>
      </w:pPr>
      <w:r>
        <w:rPr>
          <w:rFonts w:ascii="Times New Roman" w:eastAsia="Times New Roman" w:hAnsi="Times New Roman" w:cs="Times New Roman"/>
          <w:b/>
          <w:sz w:val="28"/>
          <w:szCs w:val="28"/>
        </w:rPr>
        <w:t>Options for engagement in a clinical setting:</w:t>
      </w:r>
      <w:r>
        <w:rPr>
          <w:noProof/>
        </w:rPr>
        <w:drawing>
          <wp:anchor distT="0" distB="0" distL="114300" distR="114300" simplePos="0" relativeHeight="251658240" behindDoc="0" locked="0" layoutInCell="1" hidden="0" allowOverlap="1" wp14:anchorId="087076F7" wp14:editId="5D9091AF">
            <wp:simplePos x="0" y="0"/>
            <wp:positionH relativeFrom="column">
              <wp:posOffset>4672330</wp:posOffset>
            </wp:positionH>
            <wp:positionV relativeFrom="paragraph">
              <wp:posOffset>3810</wp:posOffset>
            </wp:positionV>
            <wp:extent cx="1953895" cy="980440"/>
            <wp:effectExtent l="0" t="0" r="0" b="0"/>
            <wp:wrapSquare wrapText="bothSides" distT="0" distB="0" distL="114300" distR="114300"/>
            <wp:docPr id="1935766580"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l="2560" t="16902" r="2799" b="61721"/>
                    <a:stretch>
                      <a:fillRect/>
                    </a:stretch>
                  </pic:blipFill>
                  <pic:spPr>
                    <a:xfrm>
                      <a:off x="0" y="0"/>
                      <a:ext cx="1953895" cy="980440"/>
                    </a:xfrm>
                    <a:prstGeom prst="rect">
                      <a:avLst/>
                    </a:prstGeom>
                    <a:ln/>
                  </pic:spPr>
                </pic:pic>
              </a:graphicData>
            </a:graphic>
          </wp:anchor>
        </w:drawing>
      </w:r>
    </w:p>
    <w:p w14:paraId="0D661919" w14:textId="77777777" w:rsidR="004556D5"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Recruiting interest: </w:t>
      </w:r>
    </w:p>
    <w:p w14:paraId="20DD957F" w14:textId="77777777" w:rsidR="004556D5"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Displaying enthusiasm for the site/context (Murphy et al., 2020)</w:t>
      </w:r>
    </w:p>
    <w:p w14:paraId="6FBCF290" w14:textId="77777777" w:rsidR="004556D5"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Providing adaptable hours/shift patterns (Tee &amp; Cowen, 2012)</w:t>
      </w:r>
    </w:p>
    <w:p w14:paraId="3EB27ED1" w14:textId="77777777" w:rsidR="004556D5"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Matching clinical site to student preferences and geographic location. (</w:t>
      </w:r>
      <w:proofErr w:type="spellStart"/>
      <w:r>
        <w:rPr>
          <w:rFonts w:ascii="Times New Roman" w:eastAsia="Times New Roman" w:hAnsi="Times New Roman" w:cs="Times New Roman"/>
          <w:color w:val="000000"/>
          <w:sz w:val="24"/>
          <w:szCs w:val="24"/>
        </w:rPr>
        <w:t>Fichten</w:t>
      </w:r>
      <w:proofErr w:type="spellEnd"/>
      <w:r>
        <w:rPr>
          <w:rFonts w:ascii="Times New Roman" w:eastAsia="Times New Roman" w:hAnsi="Times New Roman" w:cs="Times New Roman"/>
          <w:color w:val="000000"/>
          <w:sz w:val="24"/>
          <w:szCs w:val="24"/>
        </w:rPr>
        <w:t xml:space="preserve"> et al.)</w:t>
      </w:r>
    </w:p>
    <w:p w14:paraId="60B7DF2E" w14:textId="77777777" w:rsidR="004556D5"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Organizing site visits and providing information on the nature of work tasks prior to start date (Brown et al., 2006; </w:t>
      </w:r>
      <w:proofErr w:type="spellStart"/>
      <w:r>
        <w:rPr>
          <w:rFonts w:ascii="Times New Roman" w:eastAsia="Times New Roman" w:hAnsi="Times New Roman" w:cs="Times New Roman"/>
          <w:color w:val="000000"/>
          <w:sz w:val="24"/>
          <w:szCs w:val="24"/>
        </w:rPr>
        <w:t>Heelan</w:t>
      </w:r>
      <w:proofErr w:type="spellEnd"/>
      <w:r>
        <w:rPr>
          <w:rFonts w:ascii="Times New Roman" w:eastAsia="Times New Roman" w:hAnsi="Times New Roman" w:cs="Times New Roman"/>
          <w:color w:val="000000"/>
          <w:sz w:val="24"/>
          <w:szCs w:val="24"/>
        </w:rPr>
        <w:t xml:space="preserve"> et al., 2015; Pace et al., 2019) </w:t>
      </w:r>
    </w:p>
    <w:p w14:paraId="08F9DDF4" w14:textId="77777777" w:rsidR="004556D5"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Providing a quiet location to read and write</w:t>
      </w:r>
    </w:p>
    <w:p w14:paraId="74C47EE1" w14:textId="77777777" w:rsidR="004556D5"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Providing unrestricted access to a resource room for all students (Pace et al., 2019)</w:t>
      </w:r>
    </w:p>
    <w:p w14:paraId="31446225" w14:textId="77777777" w:rsidR="004556D5" w:rsidRDefault="00000000">
      <w:pPr>
        <w:numPr>
          <w:ilvl w:val="0"/>
          <w:numId w:val="3"/>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Closing the curtain when working with patients to minimize distractions (</w:t>
      </w:r>
      <w:proofErr w:type="spellStart"/>
      <w:r>
        <w:rPr>
          <w:rFonts w:ascii="Times New Roman" w:eastAsia="Times New Roman" w:hAnsi="Times New Roman" w:cs="Times New Roman"/>
          <w:color w:val="000000"/>
          <w:sz w:val="24"/>
          <w:szCs w:val="24"/>
        </w:rPr>
        <w:t>Fichten</w:t>
      </w:r>
      <w:proofErr w:type="spellEnd"/>
      <w:r>
        <w:rPr>
          <w:rFonts w:ascii="Times New Roman" w:eastAsia="Times New Roman" w:hAnsi="Times New Roman" w:cs="Times New Roman"/>
          <w:color w:val="000000"/>
          <w:sz w:val="24"/>
          <w:szCs w:val="24"/>
        </w:rPr>
        <w:t xml:space="preserve"> et al.)</w:t>
      </w:r>
    </w:p>
    <w:p w14:paraId="2775E834" w14:textId="77777777" w:rsidR="004556D5"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Sustaining effort and persistence:</w:t>
      </w:r>
      <w:r>
        <w:rPr>
          <w:noProof/>
        </w:rPr>
        <w:drawing>
          <wp:anchor distT="0" distB="0" distL="114300" distR="114300" simplePos="0" relativeHeight="251659264" behindDoc="0" locked="0" layoutInCell="1" hidden="0" allowOverlap="1" wp14:anchorId="0E31CA02" wp14:editId="271F63A1">
            <wp:simplePos x="0" y="0"/>
            <wp:positionH relativeFrom="column">
              <wp:posOffset>4304665</wp:posOffset>
            </wp:positionH>
            <wp:positionV relativeFrom="paragraph">
              <wp:posOffset>191135</wp:posOffset>
            </wp:positionV>
            <wp:extent cx="2030095" cy="1203325"/>
            <wp:effectExtent l="0" t="0" r="0" b="0"/>
            <wp:wrapSquare wrapText="bothSides" distT="0" distB="0" distL="114300" distR="114300"/>
            <wp:docPr id="1935766579"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l="2560" t="39067" r="2799" b="35657"/>
                    <a:stretch>
                      <a:fillRect/>
                    </a:stretch>
                  </pic:blipFill>
                  <pic:spPr>
                    <a:xfrm>
                      <a:off x="0" y="0"/>
                      <a:ext cx="2030095" cy="1203325"/>
                    </a:xfrm>
                    <a:prstGeom prst="rect">
                      <a:avLst/>
                    </a:prstGeom>
                    <a:ln/>
                  </pic:spPr>
                </pic:pic>
              </a:graphicData>
            </a:graphic>
          </wp:anchor>
        </w:drawing>
      </w:r>
    </w:p>
    <w:p w14:paraId="7159E6A8" w14:textId="77777777" w:rsidR="004556D5"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Welcoming environment with explicit value placed on diversity </w:t>
      </w:r>
    </w:p>
    <w:p w14:paraId="20F2BE15" w14:textId="77777777" w:rsidR="004556D5"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Engaging orientation activities including icebreakers or gamifying information (</w:t>
      </w:r>
      <w:proofErr w:type="spellStart"/>
      <w:r>
        <w:rPr>
          <w:rFonts w:ascii="Times New Roman" w:eastAsia="Times New Roman" w:hAnsi="Times New Roman" w:cs="Times New Roman"/>
          <w:color w:val="000000"/>
          <w:sz w:val="24"/>
          <w:szCs w:val="24"/>
        </w:rPr>
        <w:t>Heelan</w:t>
      </w:r>
      <w:proofErr w:type="spellEnd"/>
      <w:r>
        <w:rPr>
          <w:rFonts w:ascii="Times New Roman" w:eastAsia="Times New Roman" w:hAnsi="Times New Roman" w:cs="Times New Roman"/>
          <w:color w:val="000000"/>
          <w:sz w:val="24"/>
          <w:szCs w:val="24"/>
        </w:rPr>
        <w:t xml:space="preserve"> et al., 2015)</w:t>
      </w:r>
    </w:p>
    <w:p w14:paraId="1B72F9A2" w14:textId="77777777" w:rsidR="004556D5"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Frequent, specific &amp; actionable feedback (Brown et al., 2006; Murphy et al., 2020)</w:t>
      </w:r>
    </w:p>
    <w:p w14:paraId="24DF72B3" w14:textId="77777777" w:rsidR="004556D5"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Transparent learning objectives, reviewed early using visual supports (e.g. concept map) (</w:t>
      </w:r>
      <w:proofErr w:type="spellStart"/>
      <w:r>
        <w:rPr>
          <w:rFonts w:ascii="Times New Roman" w:eastAsia="Times New Roman" w:hAnsi="Times New Roman" w:cs="Times New Roman"/>
          <w:color w:val="000000"/>
          <w:sz w:val="24"/>
          <w:szCs w:val="24"/>
        </w:rPr>
        <w:t>Heelan</w:t>
      </w:r>
      <w:proofErr w:type="spellEnd"/>
      <w:r>
        <w:rPr>
          <w:rFonts w:ascii="Times New Roman" w:eastAsia="Times New Roman" w:hAnsi="Times New Roman" w:cs="Times New Roman"/>
          <w:color w:val="000000"/>
          <w:sz w:val="24"/>
          <w:szCs w:val="24"/>
        </w:rPr>
        <w:t xml:space="preserve"> et al., 2015; Murphy et al., 2020)</w:t>
      </w:r>
    </w:p>
    <w:p w14:paraId="2B40155F" w14:textId="77777777" w:rsidR="004556D5"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Student mentorship (Brown et al., 2006; </w:t>
      </w:r>
      <w:proofErr w:type="spellStart"/>
      <w:r>
        <w:rPr>
          <w:rFonts w:ascii="Times New Roman" w:eastAsia="Times New Roman" w:hAnsi="Times New Roman" w:cs="Times New Roman"/>
          <w:color w:val="000000"/>
          <w:sz w:val="24"/>
          <w:szCs w:val="24"/>
        </w:rPr>
        <w:t>Heelan</w:t>
      </w:r>
      <w:proofErr w:type="spellEnd"/>
      <w:r>
        <w:rPr>
          <w:rFonts w:ascii="Times New Roman" w:eastAsia="Times New Roman" w:hAnsi="Times New Roman" w:cs="Times New Roman"/>
          <w:color w:val="000000"/>
          <w:sz w:val="24"/>
          <w:szCs w:val="24"/>
        </w:rPr>
        <w:t xml:space="preserve"> et al., 2015; Tee &amp; Cowen, 2012)</w:t>
      </w:r>
    </w:p>
    <w:p w14:paraId="548096E8" w14:textId="77777777" w:rsidR="004556D5" w:rsidRDefault="00000000">
      <w:pPr>
        <w:numPr>
          <w:ilvl w:val="0"/>
          <w:numId w:val="3"/>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Environment (face to face or online) that encourages peer interaction (across or within sites/intra or inter-disciplinary) to create spirit of community &amp; support (</w:t>
      </w:r>
      <w:proofErr w:type="spellStart"/>
      <w:r>
        <w:rPr>
          <w:rFonts w:ascii="Times New Roman" w:eastAsia="Times New Roman" w:hAnsi="Times New Roman" w:cs="Times New Roman"/>
          <w:color w:val="000000"/>
          <w:sz w:val="24"/>
          <w:szCs w:val="24"/>
        </w:rPr>
        <w:t>Fichten</w:t>
      </w:r>
      <w:proofErr w:type="spellEnd"/>
      <w:r>
        <w:rPr>
          <w:rFonts w:ascii="Times New Roman" w:eastAsia="Times New Roman" w:hAnsi="Times New Roman" w:cs="Times New Roman"/>
          <w:color w:val="000000"/>
          <w:sz w:val="24"/>
          <w:szCs w:val="24"/>
        </w:rPr>
        <w:t xml:space="preserve"> et al., Brown et al., 2006)</w:t>
      </w:r>
    </w:p>
    <w:p w14:paraId="642A215D" w14:textId="77777777" w:rsidR="004556D5" w:rsidRDefault="004556D5">
      <w:pPr>
        <w:pBdr>
          <w:top w:val="nil"/>
          <w:left w:val="nil"/>
          <w:bottom w:val="nil"/>
          <w:right w:val="nil"/>
          <w:between w:val="nil"/>
        </w:pBdr>
        <w:spacing w:after="0"/>
        <w:rPr>
          <w:rFonts w:ascii="Times New Roman" w:eastAsia="Times New Roman" w:hAnsi="Times New Roman" w:cs="Times New Roman"/>
          <w:i/>
          <w:color w:val="000000"/>
          <w:sz w:val="24"/>
          <w:szCs w:val="24"/>
        </w:rPr>
      </w:pPr>
    </w:p>
    <w:p w14:paraId="3F4ED9E2" w14:textId="77777777" w:rsidR="004556D5" w:rsidRDefault="00000000">
      <w:p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i/>
          <w:color w:val="000000"/>
          <w:sz w:val="24"/>
          <w:szCs w:val="24"/>
        </w:rPr>
        <w:lastRenderedPageBreak/>
        <w:t>Self-regulation</w:t>
      </w:r>
    </w:p>
    <w:p w14:paraId="4F09788F" w14:textId="77777777" w:rsidR="004556D5" w:rsidRDefault="00000000">
      <w:pPr>
        <w:numPr>
          <w:ilvl w:val="0"/>
          <w:numId w:val="4"/>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Scheduling breaks, both physical and mental (</w:t>
      </w:r>
      <w:proofErr w:type="spellStart"/>
      <w:r>
        <w:rPr>
          <w:rFonts w:ascii="Times New Roman" w:eastAsia="Times New Roman" w:hAnsi="Times New Roman" w:cs="Times New Roman"/>
          <w:color w:val="000000"/>
          <w:sz w:val="24"/>
          <w:szCs w:val="24"/>
        </w:rPr>
        <w:t>Fichten</w:t>
      </w:r>
      <w:proofErr w:type="spellEnd"/>
      <w:r>
        <w:rPr>
          <w:rFonts w:ascii="Times New Roman" w:eastAsia="Times New Roman" w:hAnsi="Times New Roman" w:cs="Times New Roman"/>
          <w:color w:val="000000"/>
          <w:sz w:val="24"/>
          <w:szCs w:val="24"/>
        </w:rPr>
        <w:t xml:space="preserve"> et al.)</w:t>
      </w:r>
      <w:r>
        <w:rPr>
          <w:noProof/>
        </w:rPr>
        <w:drawing>
          <wp:anchor distT="0" distB="0" distL="114300" distR="114300" simplePos="0" relativeHeight="251660288" behindDoc="0" locked="0" layoutInCell="1" hidden="0" allowOverlap="1" wp14:anchorId="7A3DD41A" wp14:editId="30FEE7A0">
            <wp:simplePos x="0" y="0"/>
            <wp:positionH relativeFrom="column">
              <wp:posOffset>4305300</wp:posOffset>
            </wp:positionH>
            <wp:positionV relativeFrom="paragraph">
              <wp:posOffset>10160</wp:posOffset>
            </wp:positionV>
            <wp:extent cx="1890395" cy="1070610"/>
            <wp:effectExtent l="0" t="0" r="0" b="0"/>
            <wp:wrapSquare wrapText="bothSides" distT="0" distB="0" distL="114300" distR="114300"/>
            <wp:docPr id="193576657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9"/>
                    <a:srcRect l="2560" t="63625" r="2799" b="13323"/>
                    <a:stretch>
                      <a:fillRect/>
                    </a:stretch>
                  </pic:blipFill>
                  <pic:spPr>
                    <a:xfrm>
                      <a:off x="0" y="0"/>
                      <a:ext cx="1890395" cy="1070610"/>
                    </a:xfrm>
                    <a:prstGeom prst="rect">
                      <a:avLst/>
                    </a:prstGeom>
                    <a:ln/>
                  </pic:spPr>
                </pic:pic>
              </a:graphicData>
            </a:graphic>
          </wp:anchor>
        </w:drawing>
      </w:r>
    </w:p>
    <w:p w14:paraId="3962EE66" w14:textId="77777777" w:rsidR="004556D5" w:rsidRDefault="00000000">
      <w:pPr>
        <w:numPr>
          <w:ilvl w:val="0"/>
          <w:numId w:val="4"/>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Flexibility to schedule support or mentorship appointments as needed (Pace et al., 2019)</w:t>
      </w:r>
    </w:p>
    <w:p w14:paraId="2360A0D7" w14:textId="77777777" w:rsidR="004556D5" w:rsidRDefault="00000000">
      <w:pPr>
        <w:numPr>
          <w:ilvl w:val="0"/>
          <w:numId w:val="4"/>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Scaffolding self-reflection/self-assessment (Murphy et al., 2020)</w:t>
      </w:r>
    </w:p>
    <w:p w14:paraId="4D070D27" w14:textId="77777777" w:rsidR="004556D5" w:rsidRDefault="00000000">
      <w:pPr>
        <w:numPr>
          <w:ilvl w:val="0"/>
          <w:numId w:val="4"/>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Modeling a positive outlook &amp; supporting development of personal coping mechanisms, (Brown et al., 2006)</w:t>
      </w:r>
    </w:p>
    <w:p w14:paraId="22908216" w14:textId="77777777" w:rsidR="004556D5" w:rsidRDefault="00000000">
      <w:pPr>
        <w:numPr>
          <w:ilvl w:val="0"/>
          <w:numId w:val="4"/>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Supporting disclosure as needed and guiding student to appropriate help (Tee &amp; Cowen, 2012)</w:t>
      </w:r>
    </w:p>
    <w:p w14:paraId="1CDB5592" w14:textId="77777777" w:rsidR="004556D5" w:rsidRDefault="004556D5">
      <w:pPr>
        <w:pBdr>
          <w:top w:val="nil"/>
          <w:left w:val="nil"/>
          <w:bottom w:val="nil"/>
          <w:right w:val="nil"/>
          <w:between w:val="nil"/>
        </w:pBdr>
        <w:ind w:left="720"/>
        <w:rPr>
          <w:rFonts w:ascii="Times New Roman" w:eastAsia="Times New Roman" w:hAnsi="Times New Roman" w:cs="Times New Roman"/>
          <w:i/>
          <w:color w:val="000000"/>
          <w:sz w:val="24"/>
          <w:szCs w:val="24"/>
        </w:rPr>
      </w:pPr>
    </w:p>
    <w:p w14:paraId="256E71C5" w14:textId="77777777" w:rsidR="004556D5" w:rsidRDefault="00000000">
      <w:pPr>
        <w:rPr>
          <w:rFonts w:ascii="Times New Roman" w:eastAsia="Times New Roman" w:hAnsi="Times New Roman" w:cs="Times New Roman"/>
          <w:i/>
          <w:sz w:val="28"/>
          <w:szCs w:val="28"/>
        </w:rPr>
      </w:pPr>
      <w:r>
        <w:rPr>
          <w:rFonts w:ascii="Times New Roman" w:eastAsia="Times New Roman" w:hAnsi="Times New Roman" w:cs="Times New Roman"/>
          <w:b/>
          <w:sz w:val="28"/>
          <w:szCs w:val="28"/>
        </w:rPr>
        <w:t>Options for representation in a clinical setting:</w:t>
      </w:r>
      <w:r>
        <w:rPr>
          <w:noProof/>
        </w:rPr>
        <w:drawing>
          <wp:anchor distT="0" distB="0" distL="114300" distR="114300" simplePos="0" relativeHeight="251661312" behindDoc="0" locked="0" layoutInCell="1" hidden="0" allowOverlap="1" wp14:anchorId="3E08BA78" wp14:editId="6FE66329">
            <wp:simplePos x="0" y="0"/>
            <wp:positionH relativeFrom="column">
              <wp:posOffset>4370070</wp:posOffset>
            </wp:positionH>
            <wp:positionV relativeFrom="paragraph">
              <wp:posOffset>8890</wp:posOffset>
            </wp:positionV>
            <wp:extent cx="1871980" cy="904875"/>
            <wp:effectExtent l="0" t="0" r="0" b="0"/>
            <wp:wrapSquare wrapText="bothSides" distT="0" distB="0" distL="114300" distR="114300"/>
            <wp:docPr id="193576658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l="2634" t="18010" r="3583" b="61611"/>
                    <a:stretch>
                      <a:fillRect/>
                    </a:stretch>
                  </pic:blipFill>
                  <pic:spPr>
                    <a:xfrm>
                      <a:off x="0" y="0"/>
                      <a:ext cx="1871980" cy="904875"/>
                    </a:xfrm>
                    <a:prstGeom prst="rect">
                      <a:avLst/>
                    </a:prstGeom>
                    <a:ln/>
                  </pic:spPr>
                </pic:pic>
              </a:graphicData>
            </a:graphic>
          </wp:anchor>
        </w:drawing>
      </w:r>
    </w:p>
    <w:p w14:paraId="190F6118" w14:textId="77777777" w:rsidR="004556D5"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Perception</w:t>
      </w:r>
    </w:p>
    <w:p w14:paraId="7E0C96FA" w14:textId="77777777" w:rsidR="004556D5" w:rsidRDefault="00000000">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Screen reading, C-pen/scribe pen &amp; apps that allow zoom/magnification of text (</w:t>
      </w:r>
      <w:proofErr w:type="spellStart"/>
      <w:r>
        <w:rPr>
          <w:rFonts w:ascii="Times New Roman" w:eastAsia="Times New Roman" w:hAnsi="Times New Roman" w:cs="Times New Roman"/>
          <w:color w:val="000000"/>
          <w:sz w:val="24"/>
          <w:szCs w:val="24"/>
        </w:rPr>
        <w:t>Fichten</w:t>
      </w:r>
      <w:proofErr w:type="spellEnd"/>
      <w:r>
        <w:rPr>
          <w:rFonts w:ascii="Times New Roman" w:eastAsia="Times New Roman" w:hAnsi="Times New Roman" w:cs="Times New Roman"/>
          <w:color w:val="000000"/>
          <w:sz w:val="24"/>
          <w:szCs w:val="24"/>
        </w:rPr>
        <w:t xml:space="preserve"> et al., 2024)</w:t>
      </w:r>
    </w:p>
    <w:p w14:paraId="4408FD0A" w14:textId="77777777" w:rsidR="004556D5" w:rsidRDefault="00000000">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Access to documentation off-site digitally (</w:t>
      </w:r>
      <w:proofErr w:type="spellStart"/>
      <w:r>
        <w:rPr>
          <w:rFonts w:ascii="Times New Roman" w:eastAsia="Times New Roman" w:hAnsi="Times New Roman" w:cs="Times New Roman"/>
          <w:color w:val="000000"/>
          <w:sz w:val="24"/>
          <w:szCs w:val="24"/>
        </w:rPr>
        <w:t>Fichten</w:t>
      </w:r>
      <w:proofErr w:type="spellEnd"/>
      <w:r>
        <w:rPr>
          <w:rFonts w:ascii="Times New Roman" w:eastAsia="Times New Roman" w:hAnsi="Times New Roman" w:cs="Times New Roman"/>
          <w:color w:val="000000"/>
          <w:sz w:val="24"/>
          <w:szCs w:val="24"/>
        </w:rPr>
        <w:t xml:space="preserve"> et al.)</w:t>
      </w:r>
    </w:p>
    <w:p w14:paraId="27E04B04" w14:textId="77777777" w:rsidR="004556D5" w:rsidRDefault="00000000">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Video/audio resources (e.g. policies/procedures) with captions &amp; transcript (Harris, 2018)</w:t>
      </w:r>
    </w:p>
    <w:p w14:paraId="62AA9EE2" w14:textId="77777777" w:rsidR="004556D5" w:rsidRDefault="00000000">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Site maps &amp; organizational chart of personnel with </w:t>
      </w:r>
      <w:proofErr w:type="gramStart"/>
      <w:r>
        <w:rPr>
          <w:rFonts w:ascii="Times New Roman" w:eastAsia="Times New Roman" w:hAnsi="Times New Roman" w:cs="Times New Roman"/>
          <w:color w:val="000000"/>
          <w:sz w:val="24"/>
          <w:szCs w:val="24"/>
        </w:rPr>
        <w:t>pictures  (</w:t>
      </w:r>
      <w:proofErr w:type="gramEnd"/>
      <w:r>
        <w:rPr>
          <w:rFonts w:ascii="Times New Roman" w:eastAsia="Times New Roman" w:hAnsi="Times New Roman" w:cs="Times New Roman"/>
          <w:color w:val="000000"/>
          <w:sz w:val="24"/>
          <w:szCs w:val="24"/>
        </w:rPr>
        <w:t>Pace et al., 2019)</w:t>
      </w:r>
    </w:p>
    <w:p w14:paraId="469E3A6A" w14:textId="77777777" w:rsidR="004556D5" w:rsidRDefault="00000000">
      <w:pPr>
        <w:numPr>
          <w:ilvl w:val="0"/>
          <w:numId w:val="5"/>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Hard copy and digital versions of reading </w:t>
      </w:r>
      <w:proofErr w:type="gramStart"/>
      <w:r>
        <w:rPr>
          <w:rFonts w:ascii="Times New Roman" w:eastAsia="Times New Roman" w:hAnsi="Times New Roman" w:cs="Times New Roman"/>
          <w:color w:val="000000"/>
          <w:sz w:val="24"/>
          <w:szCs w:val="24"/>
        </w:rPr>
        <w:t>materials  (</w:t>
      </w:r>
      <w:proofErr w:type="gramEnd"/>
      <w:r>
        <w:rPr>
          <w:rFonts w:ascii="Times New Roman" w:eastAsia="Times New Roman" w:hAnsi="Times New Roman" w:cs="Times New Roman"/>
          <w:color w:val="000000"/>
          <w:sz w:val="24"/>
          <w:szCs w:val="24"/>
        </w:rPr>
        <w:t>Pace et al., 2019)</w:t>
      </w:r>
    </w:p>
    <w:p w14:paraId="3F33C714" w14:textId="77777777" w:rsidR="004556D5" w:rsidRDefault="00000000">
      <w:pPr>
        <w:numPr>
          <w:ilvl w:val="0"/>
          <w:numId w:val="5"/>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Clocks on the walls in each room (Pace et al., 2019)</w:t>
      </w:r>
      <w:r>
        <w:rPr>
          <w:noProof/>
        </w:rPr>
        <w:drawing>
          <wp:anchor distT="0" distB="0" distL="114300" distR="114300" simplePos="0" relativeHeight="251662336" behindDoc="0" locked="0" layoutInCell="1" hidden="0" allowOverlap="1" wp14:anchorId="7477065D" wp14:editId="153C2256">
            <wp:simplePos x="0" y="0"/>
            <wp:positionH relativeFrom="column">
              <wp:posOffset>4387850</wp:posOffset>
            </wp:positionH>
            <wp:positionV relativeFrom="paragraph">
              <wp:posOffset>172085</wp:posOffset>
            </wp:positionV>
            <wp:extent cx="1878330" cy="1171575"/>
            <wp:effectExtent l="0" t="0" r="0" b="0"/>
            <wp:wrapSquare wrapText="bothSides" distT="0" distB="0" distL="114300" distR="114300"/>
            <wp:docPr id="1935766582"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l="2634" t="38152" r="3583" b="35544"/>
                    <a:stretch>
                      <a:fillRect/>
                    </a:stretch>
                  </pic:blipFill>
                  <pic:spPr>
                    <a:xfrm>
                      <a:off x="0" y="0"/>
                      <a:ext cx="1878330" cy="1171575"/>
                    </a:xfrm>
                    <a:prstGeom prst="rect">
                      <a:avLst/>
                    </a:prstGeom>
                    <a:ln/>
                  </pic:spPr>
                </pic:pic>
              </a:graphicData>
            </a:graphic>
          </wp:anchor>
        </w:drawing>
      </w:r>
    </w:p>
    <w:p w14:paraId="40692A8C" w14:textId="77777777" w:rsidR="004556D5"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Language &amp; symbols</w:t>
      </w:r>
    </w:p>
    <w:p w14:paraId="1D92265C" w14:textId="77777777" w:rsidR="004556D5"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Allow recording of interactions, discussions, or seminars (need signed consent) (</w:t>
      </w:r>
      <w:proofErr w:type="spellStart"/>
      <w:r>
        <w:rPr>
          <w:rFonts w:ascii="Times New Roman" w:eastAsia="Times New Roman" w:hAnsi="Times New Roman" w:cs="Times New Roman"/>
          <w:color w:val="000000"/>
          <w:sz w:val="24"/>
          <w:szCs w:val="24"/>
        </w:rPr>
        <w:t>Fichten</w:t>
      </w:r>
      <w:proofErr w:type="spellEnd"/>
      <w:r>
        <w:rPr>
          <w:rFonts w:ascii="Times New Roman" w:eastAsia="Times New Roman" w:hAnsi="Times New Roman" w:cs="Times New Roman"/>
          <w:color w:val="000000"/>
          <w:sz w:val="24"/>
          <w:szCs w:val="24"/>
        </w:rPr>
        <w:t xml:space="preserve"> et al., 2024)</w:t>
      </w:r>
    </w:p>
    <w:p w14:paraId="0AD667AC" w14:textId="77777777" w:rsidR="004556D5"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Provide paper and electronic supports/lexicons for institutional/disciplinary language specifics (Pace et al., 2019)</w:t>
      </w:r>
    </w:p>
    <w:p w14:paraId="5E53F990" w14:textId="77777777" w:rsidR="004556D5"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Mnemonics for memorizing different procedures and skills e.g. ISBAR (Pace et al., 2019)</w:t>
      </w:r>
    </w:p>
    <w:p w14:paraId="5699FF79" w14:textId="77777777" w:rsidR="004556D5"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Digital dictionaries &amp; translation tools for language barriers (</w:t>
      </w:r>
      <w:proofErr w:type="spellStart"/>
      <w:r>
        <w:rPr>
          <w:rFonts w:ascii="Times New Roman" w:eastAsia="Times New Roman" w:hAnsi="Times New Roman" w:cs="Times New Roman"/>
          <w:color w:val="000000"/>
          <w:sz w:val="24"/>
          <w:szCs w:val="24"/>
        </w:rPr>
        <w:t>Fichten</w:t>
      </w:r>
      <w:proofErr w:type="spellEnd"/>
      <w:r>
        <w:rPr>
          <w:rFonts w:ascii="Times New Roman" w:eastAsia="Times New Roman" w:hAnsi="Times New Roman" w:cs="Times New Roman"/>
          <w:color w:val="000000"/>
          <w:sz w:val="24"/>
          <w:szCs w:val="24"/>
        </w:rPr>
        <w:t xml:space="preserve"> et al., 2024)</w:t>
      </w:r>
    </w:p>
    <w:p w14:paraId="0F70A151" w14:textId="18B4702E" w:rsidR="00D47165" w:rsidRPr="00D47165" w:rsidRDefault="00000000" w:rsidP="00D47165">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Carry notepad or index cards (</w:t>
      </w:r>
      <w:proofErr w:type="spellStart"/>
      <w:r>
        <w:rPr>
          <w:rFonts w:ascii="Times New Roman" w:eastAsia="Times New Roman" w:hAnsi="Times New Roman" w:cs="Times New Roman"/>
          <w:color w:val="000000"/>
          <w:sz w:val="24"/>
          <w:szCs w:val="24"/>
        </w:rPr>
        <w:t>Fichten</w:t>
      </w:r>
      <w:proofErr w:type="spellEnd"/>
      <w:r>
        <w:rPr>
          <w:rFonts w:ascii="Times New Roman" w:eastAsia="Times New Roman" w:hAnsi="Times New Roman" w:cs="Times New Roman"/>
          <w:color w:val="000000"/>
          <w:sz w:val="24"/>
          <w:szCs w:val="24"/>
        </w:rPr>
        <w:t xml:space="preserve"> et al., 2024)</w:t>
      </w:r>
    </w:p>
    <w:p w14:paraId="026D0C2B" w14:textId="3366F277" w:rsidR="004556D5"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Comprehension</w:t>
      </w:r>
    </w:p>
    <w:p w14:paraId="2C789016" w14:textId="77777777" w:rsidR="004556D5"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Use graphic organizers to structure information e.g. cue cards, mind map software, step by step flow charts for procedures, visual flow charts (Tee and Cowen, 2012; Pace et al., 2019)</w:t>
      </w:r>
      <w:r>
        <w:rPr>
          <w:noProof/>
        </w:rPr>
        <w:drawing>
          <wp:anchor distT="0" distB="0" distL="114300" distR="114300" simplePos="0" relativeHeight="251663360" behindDoc="0" locked="0" layoutInCell="1" hidden="0" allowOverlap="1" wp14:anchorId="3EFDFD28" wp14:editId="30E5BF0C">
            <wp:simplePos x="0" y="0"/>
            <wp:positionH relativeFrom="column">
              <wp:posOffset>4176395</wp:posOffset>
            </wp:positionH>
            <wp:positionV relativeFrom="paragraph">
              <wp:posOffset>33655</wp:posOffset>
            </wp:positionV>
            <wp:extent cx="1871980" cy="1040765"/>
            <wp:effectExtent l="0" t="0" r="0" b="0"/>
            <wp:wrapSquare wrapText="bothSides" distT="0" distB="0" distL="114300" distR="114300"/>
            <wp:docPr id="1935766578"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0"/>
                    <a:srcRect l="2634" t="64454" r="3583" b="12085"/>
                    <a:stretch>
                      <a:fillRect/>
                    </a:stretch>
                  </pic:blipFill>
                  <pic:spPr>
                    <a:xfrm>
                      <a:off x="0" y="0"/>
                      <a:ext cx="1871980" cy="1040765"/>
                    </a:xfrm>
                    <a:prstGeom prst="rect">
                      <a:avLst/>
                    </a:prstGeom>
                    <a:ln/>
                  </pic:spPr>
                </pic:pic>
              </a:graphicData>
            </a:graphic>
          </wp:anchor>
        </w:drawing>
      </w:r>
    </w:p>
    <w:p w14:paraId="283C53E5" w14:textId="77777777" w:rsidR="004556D5"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Provide examples and application of information, such as cases for prioritization (Pace et al, 2019, Murphy et al., 2020)</w:t>
      </w:r>
    </w:p>
    <w:p w14:paraId="2D6B2FA4" w14:textId="77777777" w:rsidR="004556D5"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Peer learning: students create lists of goals for clients and compare (</w:t>
      </w:r>
      <w:proofErr w:type="spellStart"/>
      <w:r>
        <w:rPr>
          <w:rFonts w:ascii="Times New Roman" w:eastAsia="Times New Roman" w:hAnsi="Times New Roman" w:cs="Times New Roman"/>
          <w:color w:val="000000"/>
          <w:sz w:val="24"/>
          <w:szCs w:val="24"/>
        </w:rPr>
        <w:t>Fichten</w:t>
      </w:r>
      <w:proofErr w:type="spellEnd"/>
      <w:r>
        <w:rPr>
          <w:rFonts w:ascii="Times New Roman" w:eastAsia="Times New Roman" w:hAnsi="Times New Roman" w:cs="Times New Roman"/>
          <w:color w:val="000000"/>
          <w:sz w:val="24"/>
          <w:szCs w:val="24"/>
        </w:rPr>
        <w:t xml:space="preserve"> et al., 2024)</w:t>
      </w:r>
    </w:p>
    <w:p w14:paraId="040F69F1" w14:textId="77777777" w:rsidR="004556D5"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Highlight critical features of a procedure, surgery, policy (Pace et al., 2019)</w:t>
      </w:r>
    </w:p>
    <w:p w14:paraId="5E600157" w14:textId="77777777" w:rsidR="004556D5"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lastRenderedPageBreak/>
        <w:t>Teach in a systematic way, e.g. from head to toe, or inside to outside (Pace et al., 2019)</w:t>
      </w:r>
    </w:p>
    <w:p w14:paraId="242048B0" w14:textId="77777777" w:rsidR="004556D5"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Use similar assessment formats from classroom to </w:t>
      </w:r>
      <w:proofErr w:type="gramStart"/>
      <w:r>
        <w:rPr>
          <w:rFonts w:ascii="Times New Roman" w:eastAsia="Times New Roman" w:hAnsi="Times New Roman" w:cs="Times New Roman"/>
          <w:color w:val="000000"/>
          <w:sz w:val="24"/>
          <w:szCs w:val="24"/>
        </w:rPr>
        <w:t>clinic  (</w:t>
      </w:r>
      <w:proofErr w:type="gramEnd"/>
      <w:r>
        <w:rPr>
          <w:rFonts w:ascii="Times New Roman" w:eastAsia="Times New Roman" w:hAnsi="Times New Roman" w:cs="Times New Roman"/>
          <w:color w:val="000000"/>
          <w:sz w:val="24"/>
          <w:szCs w:val="24"/>
        </w:rPr>
        <w:t>Hua et al., 2014).</w:t>
      </w:r>
    </w:p>
    <w:p w14:paraId="059158DD" w14:textId="77777777" w:rsidR="004556D5"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bookmarkStart w:id="0" w:name="_heading=h.gjdgxs" w:colFirst="0" w:colLast="0"/>
      <w:bookmarkEnd w:id="0"/>
      <w:r>
        <w:rPr>
          <w:rFonts w:ascii="Times New Roman" w:eastAsia="Times New Roman" w:hAnsi="Times New Roman" w:cs="Times New Roman"/>
          <w:color w:val="000000"/>
          <w:sz w:val="24"/>
          <w:szCs w:val="24"/>
        </w:rPr>
        <w:t xml:space="preserve">Use verbal comprehension tool “RAP” to support reading comprehension: Read a document, </w:t>
      </w:r>
      <w:proofErr w:type="gramStart"/>
      <w:r>
        <w:rPr>
          <w:rFonts w:ascii="Times New Roman" w:eastAsia="Times New Roman" w:hAnsi="Times New Roman" w:cs="Times New Roman"/>
          <w:color w:val="000000"/>
          <w:sz w:val="24"/>
          <w:szCs w:val="24"/>
        </w:rPr>
        <w:t>Ask</w:t>
      </w:r>
      <w:proofErr w:type="gramEnd"/>
      <w:r>
        <w:rPr>
          <w:rFonts w:ascii="Times New Roman" w:eastAsia="Times New Roman" w:hAnsi="Times New Roman" w:cs="Times New Roman"/>
          <w:color w:val="000000"/>
          <w:sz w:val="24"/>
          <w:szCs w:val="24"/>
        </w:rPr>
        <w:t xml:space="preserve"> meaning (2 key details), and then Paraphrase (Hua et al., 2014).</w:t>
      </w:r>
    </w:p>
    <w:p w14:paraId="340AD05B" w14:textId="77777777" w:rsidR="004556D5" w:rsidRDefault="00000000">
      <w:pPr>
        <w:numPr>
          <w:ilvl w:val="0"/>
          <w:numId w:val="1"/>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Suggest students create “crib notes” to prompt quick decision-making (</w:t>
      </w:r>
      <w:proofErr w:type="spellStart"/>
      <w:r>
        <w:rPr>
          <w:rFonts w:ascii="Times New Roman" w:eastAsia="Times New Roman" w:hAnsi="Times New Roman" w:cs="Times New Roman"/>
          <w:color w:val="000000"/>
          <w:sz w:val="24"/>
          <w:szCs w:val="24"/>
        </w:rPr>
        <w:t>Fichten</w:t>
      </w:r>
      <w:proofErr w:type="spellEnd"/>
      <w:r>
        <w:rPr>
          <w:rFonts w:ascii="Times New Roman" w:eastAsia="Times New Roman" w:hAnsi="Times New Roman" w:cs="Times New Roman"/>
          <w:color w:val="000000"/>
          <w:sz w:val="24"/>
          <w:szCs w:val="24"/>
        </w:rPr>
        <w:t xml:space="preserve"> et al, 2024)</w:t>
      </w:r>
    </w:p>
    <w:p w14:paraId="1DE80422" w14:textId="77777777" w:rsidR="004556D5" w:rsidRDefault="00000000">
      <w:pPr>
        <w:numPr>
          <w:ilvl w:val="0"/>
          <w:numId w:val="1"/>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Allow students to record difficult procedures, encourage students to find/watch videos of medical interventions in their field to activate background knowledge (</w:t>
      </w:r>
      <w:proofErr w:type="spellStart"/>
      <w:r>
        <w:rPr>
          <w:rFonts w:ascii="Times New Roman" w:eastAsia="Times New Roman" w:hAnsi="Times New Roman" w:cs="Times New Roman"/>
          <w:color w:val="000000"/>
          <w:sz w:val="24"/>
          <w:szCs w:val="24"/>
        </w:rPr>
        <w:t>Fichten</w:t>
      </w:r>
      <w:proofErr w:type="spellEnd"/>
      <w:r>
        <w:rPr>
          <w:rFonts w:ascii="Times New Roman" w:eastAsia="Times New Roman" w:hAnsi="Times New Roman" w:cs="Times New Roman"/>
          <w:color w:val="000000"/>
          <w:sz w:val="24"/>
          <w:szCs w:val="24"/>
        </w:rPr>
        <w:t xml:space="preserve"> et al, 2024)</w:t>
      </w:r>
    </w:p>
    <w:p w14:paraId="68F3545B" w14:textId="77777777" w:rsidR="004556D5" w:rsidRDefault="00000000">
      <w:pPr>
        <w:rPr>
          <w:rFonts w:ascii="Times New Roman" w:eastAsia="Times New Roman" w:hAnsi="Times New Roman" w:cs="Times New Roman"/>
          <w:sz w:val="28"/>
          <w:szCs w:val="28"/>
        </w:rPr>
      </w:pPr>
      <w:r>
        <w:rPr>
          <w:rFonts w:ascii="Times New Roman" w:eastAsia="Times New Roman" w:hAnsi="Times New Roman" w:cs="Times New Roman"/>
          <w:b/>
          <w:sz w:val="28"/>
          <w:szCs w:val="28"/>
        </w:rPr>
        <w:t>Options for action &amp; expression in a clinical setting:</w:t>
      </w:r>
      <w:r>
        <w:rPr>
          <w:rFonts w:ascii="Times New Roman" w:eastAsia="Times New Roman" w:hAnsi="Times New Roman" w:cs="Times New Roman"/>
          <w:sz w:val="28"/>
          <w:szCs w:val="28"/>
        </w:rPr>
        <w:t xml:space="preserve"> </w:t>
      </w:r>
    </w:p>
    <w:p w14:paraId="59F81640" w14:textId="77777777" w:rsidR="004556D5"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Physical action </w:t>
      </w:r>
      <w:r>
        <w:rPr>
          <w:rFonts w:ascii="Times New Roman" w:eastAsia="Times New Roman" w:hAnsi="Times New Roman" w:cs="Times New Roman"/>
          <w:sz w:val="24"/>
          <w:szCs w:val="24"/>
        </w:rPr>
        <w:t>(</w:t>
      </w:r>
      <w:proofErr w:type="spellStart"/>
      <w:r>
        <w:rPr>
          <w:rFonts w:ascii="Times New Roman" w:eastAsia="Times New Roman" w:hAnsi="Times New Roman" w:cs="Times New Roman"/>
          <w:sz w:val="24"/>
          <w:szCs w:val="24"/>
        </w:rPr>
        <w:t>Fichten</w:t>
      </w:r>
      <w:proofErr w:type="spellEnd"/>
      <w:r>
        <w:rPr>
          <w:rFonts w:ascii="Times New Roman" w:eastAsia="Times New Roman" w:hAnsi="Times New Roman" w:cs="Times New Roman"/>
          <w:sz w:val="24"/>
          <w:szCs w:val="24"/>
        </w:rPr>
        <w:t xml:space="preserve"> et al., 2024)</w:t>
      </w:r>
      <w:r>
        <w:rPr>
          <w:noProof/>
        </w:rPr>
        <w:drawing>
          <wp:anchor distT="0" distB="0" distL="114300" distR="114300" simplePos="0" relativeHeight="251664384" behindDoc="0" locked="0" layoutInCell="1" hidden="0" allowOverlap="1" wp14:anchorId="78DF0F31" wp14:editId="2056B0DB">
            <wp:simplePos x="0" y="0"/>
            <wp:positionH relativeFrom="column">
              <wp:posOffset>4100014</wp:posOffset>
            </wp:positionH>
            <wp:positionV relativeFrom="paragraph">
              <wp:posOffset>64044</wp:posOffset>
            </wp:positionV>
            <wp:extent cx="1991360" cy="733425"/>
            <wp:effectExtent l="0" t="0" r="0" b="0"/>
            <wp:wrapSquare wrapText="bothSides" distT="0" distB="0" distL="114300" distR="114300"/>
            <wp:docPr id="1935766574"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l="3880" t="17574" r="4101" b="67955"/>
                    <a:stretch>
                      <a:fillRect/>
                    </a:stretch>
                  </pic:blipFill>
                  <pic:spPr>
                    <a:xfrm>
                      <a:off x="0" y="0"/>
                      <a:ext cx="1991360" cy="733425"/>
                    </a:xfrm>
                    <a:prstGeom prst="rect">
                      <a:avLst/>
                    </a:prstGeom>
                    <a:ln/>
                  </pic:spPr>
                </pic:pic>
              </a:graphicData>
            </a:graphic>
          </wp:anchor>
        </w:drawing>
      </w:r>
    </w:p>
    <w:p w14:paraId="1D7A845F" w14:textId="77777777" w:rsidR="004556D5" w:rsidRDefault="0000000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Use of digital pens </w:t>
      </w:r>
    </w:p>
    <w:p w14:paraId="0034F24E" w14:textId="77777777" w:rsidR="004556D5" w:rsidRDefault="0000000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Read and write, Kurzweil, or Word Q software </w:t>
      </w:r>
    </w:p>
    <w:p w14:paraId="0A4039E2" w14:textId="77777777" w:rsidR="004556D5" w:rsidRDefault="0000000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Noise cancelling headphones for concentration.</w:t>
      </w:r>
    </w:p>
    <w:p w14:paraId="5CF958A3" w14:textId="77777777" w:rsidR="004556D5"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Mobile technology for dictation and recording (while ensuring patient confidentiality).</w:t>
      </w:r>
    </w:p>
    <w:p w14:paraId="64CA3CA5" w14:textId="77777777" w:rsidR="004556D5"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Expression &amp; communication</w:t>
      </w:r>
    </w:p>
    <w:p w14:paraId="3D8575E2" w14:textId="77777777" w:rsidR="004556D5" w:rsidRDefault="00000000">
      <w:pPr>
        <w:numPr>
          <w:ilvl w:val="0"/>
          <w:numId w:val="2"/>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Medical spell check and dictionary software or devices (Pace et al., 2019)</w:t>
      </w:r>
      <w:r>
        <w:rPr>
          <w:noProof/>
        </w:rPr>
        <w:drawing>
          <wp:anchor distT="0" distB="0" distL="114300" distR="114300" simplePos="0" relativeHeight="251665408" behindDoc="0" locked="0" layoutInCell="1" hidden="0" allowOverlap="1" wp14:anchorId="38CB842C" wp14:editId="729A51D1">
            <wp:simplePos x="0" y="0"/>
            <wp:positionH relativeFrom="column">
              <wp:posOffset>4128770</wp:posOffset>
            </wp:positionH>
            <wp:positionV relativeFrom="paragraph">
              <wp:posOffset>7620</wp:posOffset>
            </wp:positionV>
            <wp:extent cx="1990725" cy="1054735"/>
            <wp:effectExtent l="0" t="0" r="0" b="0"/>
            <wp:wrapSquare wrapText="bothSides" distT="0" distB="0" distL="114300" distR="114300"/>
            <wp:docPr id="1935766576"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l="4434" t="38862" r="3547" b="39356"/>
                    <a:stretch>
                      <a:fillRect/>
                    </a:stretch>
                  </pic:blipFill>
                  <pic:spPr>
                    <a:xfrm>
                      <a:off x="0" y="0"/>
                      <a:ext cx="1990725" cy="1054735"/>
                    </a:xfrm>
                    <a:prstGeom prst="rect">
                      <a:avLst/>
                    </a:prstGeom>
                    <a:ln/>
                  </pic:spPr>
                </pic:pic>
              </a:graphicData>
            </a:graphic>
          </wp:anchor>
        </w:drawing>
      </w:r>
    </w:p>
    <w:p w14:paraId="4408472D" w14:textId="77777777" w:rsidR="004556D5" w:rsidRDefault="00000000">
      <w:pPr>
        <w:numPr>
          <w:ilvl w:val="0"/>
          <w:numId w:val="2"/>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Dragon medical dictation software (Pace et al., 2019)</w:t>
      </w:r>
    </w:p>
    <w:p w14:paraId="0C9F6EA7" w14:textId="77777777" w:rsidR="004556D5" w:rsidRDefault="00000000">
      <w:pPr>
        <w:numPr>
          <w:ilvl w:val="0"/>
          <w:numId w:val="2"/>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Antidote software for grammar &amp; translation (</w:t>
      </w:r>
      <w:proofErr w:type="spellStart"/>
      <w:r>
        <w:rPr>
          <w:rFonts w:ascii="Times New Roman" w:eastAsia="Times New Roman" w:hAnsi="Times New Roman" w:cs="Times New Roman"/>
          <w:color w:val="000000"/>
          <w:sz w:val="24"/>
          <w:szCs w:val="24"/>
        </w:rPr>
        <w:t>Fichten</w:t>
      </w:r>
      <w:proofErr w:type="spellEnd"/>
      <w:r>
        <w:rPr>
          <w:rFonts w:ascii="Times New Roman" w:eastAsia="Times New Roman" w:hAnsi="Times New Roman" w:cs="Times New Roman"/>
          <w:color w:val="000000"/>
          <w:sz w:val="24"/>
          <w:szCs w:val="24"/>
        </w:rPr>
        <w:t xml:space="preserve"> et al., 2024)</w:t>
      </w:r>
    </w:p>
    <w:p w14:paraId="5B64C652" w14:textId="77777777" w:rsidR="004556D5" w:rsidRDefault="00000000">
      <w:pPr>
        <w:numPr>
          <w:ilvl w:val="0"/>
          <w:numId w:val="2"/>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Word prediction feature (</w:t>
      </w:r>
      <w:proofErr w:type="spellStart"/>
      <w:r>
        <w:rPr>
          <w:rFonts w:ascii="Times New Roman" w:eastAsia="Times New Roman" w:hAnsi="Times New Roman" w:cs="Times New Roman"/>
          <w:color w:val="000000"/>
          <w:sz w:val="24"/>
          <w:szCs w:val="24"/>
        </w:rPr>
        <w:t>Fichten</w:t>
      </w:r>
      <w:proofErr w:type="spellEnd"/>
      <w:r>
        <w:rPr>
          <w:rFonts w:ascii="Times New Roman" w:eastAsia="Times New Roman" w:hAnsi="Times New Roman" w:cs="Times New Roman"/>
          <w:color w:val="000000"/>
          <w:sz w:val="24"/>
          <w:szCs w:val="24"/>
        </w:rPr>
        <w:t xml:space="preserve"> et al., 2024)</w:t>
      </w:r>
    </w:p>
    <w:p w14:paraId="441926D5" w14:textId="77777777" w:rsidR="004556D5" w:rsidRDefault="00000000">
      <w:pPr>
        <w:numPr>
          <w:ilvl w:val="0"/>
          <w:numId w:val="2"/>
        </w:numPr>
        <w:pBdr>
          <w:top w:val="nil"/>
          <w:left w:val="nil"/>
          <w:bottom w:val="nil"/>
          <w:right w:val="nil"/>
          <w:between w:val="nil"/>
        </w:pBdr>
        <w:spacing w:after="0"/>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Use of virtual patients for extra non-technical skills practice (Peddle et al., 2020)</w:t>
      </w:r>
    </w:p>
    <w:p w14:paraId="13F39A90" w14:textId="77777777" w:rsidR="004556D5" w:rsidRDefault="00000000">
      <w:pPr>
        <w:numPr>
          <w:ilvl w:val="0"/>
          <w:numId w:val="2"/>
        </w:numPr>
        <w:pBdr>
          <w:top w:val="nil"/>
          <w:left w:val="nil"/>
          <w:bottom w:val="nil"/>
          <w:right w:val="nil"/>
          <w:between w:val="nil"/>
        </w:pBdr>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Practice of critical skills in off-site simulations (</w:t>
      </w:r>
      <w:proofErr w:type="spellStart"/>
      <w:r>
        <w:rPr>
          <w:rFonts w:ascii="Times New Roman" w:eastAsia="Times New Roman" w:hAnsi="Times New Roman" w:cs="Times New Roman"/>
          <w:color w:val="000000"/>
          <w:sz w:val="24"/>
          <w:szCs w:val="24"/>
        </w:rPr>
        <w:t>Heelan</w:t>
      </w:r>
      <w:proofErr w:type="spellEnd"/>
      <w:r>
        <w:rPr>
          <w:rFonts w:ascii="Times New Roman" w:eastAsia="Times New Roman" w:hAnsi="Times New Roman" w:cs="Times New Roman"/>
          <w:color w:val="000000"/>
          <w:sz w:val="24"/>
          <w:szCs w:val="24"/>
        </w:rPr>
        <w:t xml:space="preserve"> et al., 2015)</w:t>
      </w:r>
    </w:p>
    <w:p w14:paraId="037D5058" w14:textId="77777777" w:rsidR="004556D5" w:rsidRDefault="00000000">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Executive function</w:t>
      </w:r>
      <w:r>
        <w:rPr>
          <w:noProof/>
        </w:rPr>
        <w:drawing>
          <wp:anchor distT="0" distB="0" distL="114300" distR="114300" simplePos="0" relativeHeight="251666432" behindDoc="0" locked="0" layoutInCell="1" hidden="0" allowOverlap="1" wp14:anchorId="2541A3DB" wp14:editId="6237D5CF">
            <wp:simplePos x="0" y="0"/>
            <wp:positionH relativeFrom="column">
              <wp:posOffset>4075883</wp:posOffset>
            </wp:positionH>
            <wp:positionV relativeFrom="paragraph">
              <wp:posOffset>123734</wp:posOffset>
            </wp:positionV>
            <wp:extent cx="1967230" cy="1066800"/>
            <wp:effectExtent l="0" t="0" r="0" b="0"/>
            <wp:wrapSquare wrapText="bothSides" distT="0" distB="0" distL="114300" distR="114300"/>
            <wp:docPr id="1935766583" name="image5.png"/>
            <wp:cNvGraphicFramePr/>
            <a:graphic xmlns:a="http://schemas.openxmlformats.org/drawingml/2006/main">
              <a:graphicData uri="http://schemas.openxmlformats.org/drawingml/2006/picture">
                <pic:pic xmlns:pic="http://schemas.openxmlformats.org/drawingml/2006/picture">
                  <pic:nvPicPr>
                    <pic:cNvPr id="0" name="image5.png"/>
                    <pic:cNvPicPr preferRelativeResize="0"/>
                  </pic:nvPicPr>
                  <pic:blipFill>
                    <a:blip r:embed="rId11"/>
                    <a:srcRect l="4434" t="65346" r="3547" b="12377"/>
                    <a:stretch>
                      <a:fillRect/>
                    </a:stretch>
                  </pic:blipFill>
                  <pic:spPr>
                    <a:xfrm>
                      <a:off x="0" y="0"/>
                      <a:ext cx="1967230" cy="1066800"/>
                    </a:xfrm>
                    <a:prstGeom prst="rect">
                      <a:avLst/>
                    </a:prstGeom>
                    <a:ln/>
                  </pic:spPr>
                </pic:pic>
              </a:graphicData>
            </a:graphic>
          </wp:anchor>
        </w:drawing>
      </w:r>
    </w:p>
    <w:p w14:paraId="79800520" w14:textId="77777777" w:rsidR="004556D5" w:rsidRDefault="0000000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Guided goal setting (Brown et al., 2006) </w:t>
      </w:r>
    </w:p>
    <w:p w14:paraId="3F518F91" w14:textId="77777777" w:rsidR="004556D5" w:rsidRDefault="0000000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Encourage use of </w:t>
      </w:r>
      <w:proofErr w:type="gramStart"/>
      <w:r>
        <w:rPr>
          <w:rFonts w:ascii="Times New Roman" w:eastAsia="Times New Roman" w:hAnsi="Times New Roman" w:cs="Times New Roman"/>
          <w:color w:val="000000"/>
          <w:sz w:val="24"/>
          <w:szCs w:val="24"/>
        </w:rPr>
        <w:t>note-taking</w:t>
      </w:r>
      <w:proofErr w:type="gramEnd"/>
      <w:r>
        <w:rPr>
          <w:rFonts w:ascii="Times New Roman" w:eastAsia="Times New Roman" w:hAnsi="Times New Roman" w:cs="Times New Roman"/>
          <w:color w:val="000000"/>
          <w:sz w:val="24"/>
          <w:szCs w:val="24"/>
        </w:rPr>
        <w:t xml:space="preserve"> and to-do apps (</w:t>
      </w:r>
      <w:proofErr w:type="spellStart"/>
      <w:r>
        <w:rPr>
          <w:rFonts w:ascii="Times New Roman" w:eastAsia="Times New Roman" w:hAnsi="Times New Roman" w:cs="Times New Roman"/>
          <w:color w:val="000000"/>
          <w:sz w:val="24"/>
          <w:szCs w:val="24"/>
        </w:rPr>
        <w:t>Fichten</w:t>
      </w:r>
      <w:proofErr w:type="spellEnd"/>
      <w:r>
        <w:rPr>
          <w:rFonts w:ascii="Times New Roman" w:eastAsia="Times New Roman" w:hAnsi="Times New Roman" w:cs="Times New Roman"/>
          <w:color w:val="000000"/>
          <w:sz w:val="24"/>
          <w:szCs w:val="24"/>
        </w:rPr>
        <w:t xml:space="preserve"> et al., 2024; Harris, 2018)</w:t>
      </w:r>
    </w:p>
    <w:p w14:paraId="36FD7994" w14:textId="77777777" w:rsidR="004556D5" w:rsidRDefault="0000000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Multiple media for clinical reflections (e.g. audio/video)</w:t>
      </w:r>
    </w:p>
    <w:p w14:paraId="352DFCAE" w14:textId="77777777" w:rsidR="004556D5" w:rsidRDefault="0000000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Support autonomous scheduling &amp; time management using apps/physical calendars completed by the student/automated reminders (Harris, 2018; </w:t>
      </w:r>
      <w:proofErr w:type="spellStart"/>
      <w:r>
        <w:rPr>
          <w:rFonts w:ascii="Times New Roman" w:eastAsia="Times New Roman" w:hAnsi="Times New Roman" w:cs="Times New Roman"/>
          <w:color w:val="000000"/>
          <w:sz w:val="24"/>
          <w:szCs w:val="24"/>
        </w:rPr>
        <w:t>Heelan</w:t>
      </w:r>
      <w:proofErr w:type="spellEnd"/>
      <w:r>
        <w:rPr>
          <w:rFonts w:ascii="Times New Roman" w:eastAsia="Times New Roman" w:hAnsi="Times New Roman" w:cs="Times New Roman"/>
          <w:color w:val="000000"/>
          <w:sz w:val="24"/>
          <w:szCs w:val="24"/>
        </w:rPr>
        <w:t xml:space="preserve"> et al., 2015)</w:t>
      </w:r>
    </w:p>
    <w:p w14:paraId="404377DA" w14:textId="77777777" w:rsidR="004556D5" w:rsidRDefault="00000000">
      <w:pPr>
        <w:numPr>
          <w:ilvl w:val="0"/>
          <w:numId w:val="2"/>
        </w:numPr>
        <w:pBdr>
          <w:top w:val="nil"/>
          <w:left w:val="nil"/>
          <w:bottom w:val="nil"/>
          <w:right w:val="nil"/>
          <w:between w:val="nil"/>
        </w:pBdr>
        <w:spacing w:after="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Negotiable deadlines (e.g. collaboratively decided) and “negotiated time-outs” (Tee &amp; Cowen, 2012)</w:t>
      </w:r>
    </w:p>
    <w:p w14:paraId="7759BB76" w14:textId="77777777" w:rsidR="004556D5" w:rsidRDefault="00000000">
      <w:pPr>
        <w:numPr>
          <w:ilvl w:val="0"/>
          <w:numId w:val="2"/>
        </w:numPr>
        <w:pBdr>
          <w:top w:val="nil"/>
          <w:left w:val="nil"/>
          <w:bottom w:val="nil"/>
          <w:right w:val="nil"/>
          <w:between w:val="nil"/>
        </w:pBd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Use of checklists/flowcharts for repeated or procedural tasks (</w:t>
      </w:r>
      <w:proofErr w:type="spellStart"/>
      <w:r>
        <w:rPr>
          <w:rFonts w:ascii="Times New Roman" w:eastAsia="Times New Roman" w:hAnsi="Times New Roman" w:cs="Times New Roman"/>
          <w:color w:val="000000"/>
          <w:sz w:val="24"/>
          <w:szCs w:val="24"/>
        </w:rPr>
        <w:t>Fichten</w:t>
      </w:r>
      <w:proofErr w:type="spellEnd"/>
      <w:r>
        <w:rPr>
          <w:rFonts w:ascii="Times New Roman" w:eastAsia="Times New Roman" w:hAnsi="Times New Roman" w:cs="Times New Roman"/>
          <w:color w:val="000000"/>
          <w:sz w:val="24"/>
          <w:szCs w:val="24"/>
        </w:rPr>
        <w:t xml:space="preserve"> et al., 2024; Pace et al., 2019)</w:t>
      </w:r>
    </w:p>
    <w:p w14:paraId="487992D4" w14:textId="77777777" w:rsidR="004556D5" w:rsidRDefault="004556D5">
      <w:pPr>
        <w:rPr>
          <w:rFonts w:ascii="Times New Roman" w:eastAsia="Times New Roman" w:hAnsi="Times New Roman" w:cs="Times New Roman"/>
          <w:sz w:val="24"/>
          <w:szCs w:val="24"/>
        </w:rPr>
      </w:pPr>
    </w:p>
    <w:p w14:paraId="3A5476DE" w14:textId="77777777" w:rsidR="00220465" w:rsidRDefault="00220465">
      <w:pPr>
        <w:rPr>
          <w:rFonts w:ascii="Times New Roman" w:eastAsia="Times New Roman" w:hAnsi="Times New Roman" w:cs="Times New Roman"/>
          <w:sz w:val="24"/>
          <w:szCs w:val="24"/>
        </w:rPr>
      </w:pPr>
    </w:p>
    <w:p w14:paraId="7B02BDAE" w14:textId="77777777" w:rsidR="004556D5" w:rsidRDefault="00000000">
      <w:pPr>
        <w:pBdr>
          <w:top w:val="nil"/>
          <w:left w:val="nil"/>
          <w:bottom w:val="nil"/>
          <w:right w:val="nil"/>
          <w:between w:val="nil"/>
        </w:pBd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lastRenderedPageBreak/>
        <w:t>References</w:t>
      </w:r>
    </w:p>
    <w:p w14:paraId="3333C747" w14:textId="77777777" w:rsidR="004556D5"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Brown, K., James, C., &amp; </w:t>
      </w:r>
      <w:proofErr w:type="spellStart"/>
      <w:r>
        <w:rPr>
          <w:rFonts w:ascii="Times New Roman" w:eastAsia="Times New Roman" w:hAnsi="Times New Roman" w:cs="Times New Roman"/>
          <w:color w:val="000000"/>
          <w:sz w:val="24"/>
          <w:szCs w:val="24"/>
        </w:rPr>
        <w:t>MacKenzie</w:t>
      </w:r>
      <w:proofErr w:type="spellEnd"/>
      <w:r>
        <w:rPr>
          <w:rFonts w:ascii="Times New Roman" w:eastAsia="Times New Roman" w:hAnsi="Times New Roman" w:cs="Times New Roman"/>
          <w:color w:val="000000"/>
          <w:sz w:val="24"/>
          <w:szCs w:val="24"/>
        </w:rPr>
        <w:t xml:space="preserve">, L. (2006). The Practice Placement Education Experience: An Australian Pilot Study Exploring the Perspectives of Health Professional Students with a Disability. </w:t>
      </w:r>
      <w:r>
        <w:rPr>
          <w:rFonts w:ascii="Times New Roman" w:eastAsia="Times New Roman" w:hAnsi="Times New Roman" w:cs="Times New Roman"/>
          <w:i/>
          <w:color w:val="000000"/>
          <w:sz w:val="24"/>
          <w:szCs w:val="24"/>
        </w:rPr>
        <w:t>British Journal of Occupational Therapy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69</w:t>
      </w:r>
      <w:r>
        <w:rPr>
          <w:rFonts w:ascii="Times New Roman" w:eastAsia="Times New Roman" w:hAnsi="Times New Roman" w:cs="Times New Roman"/>
          <w:color w:val="000000"/>
          <w:sz w:val="24"/>
          <w:szCs w:val="24"/>
        </w:rPr>
        <w:t>(1), 31–37. https://doi.org/10.1177/030802260606900106</w:t>
      </w:r>
    </w:p>
    <w:p w14:paraId="6470CD6D" w14:textId="77777777" w:rsidR="004556D5"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highlight w:val="white"/>
        </w:rPr>
        <w:t>Fichten</w:t>
      </w:r>
      <w:proofErr w:type="spellEnd"/>
      <w:r>
        <w:rPr>
          <w:rFonts w:ascii="Times New Roman" w:eastAsia="Times New Roman" w:hAnsi="Times New Roman" w:cs="Times New Roman"/>
          <w:color w:val="000000"/>
          <w:sz w:val="24"/>
          <w:szCs w:val="24"/>
          <w:highlight w:val="white"/>
        </w:rPr>
        <w:t xml:space="preserve">, C., Havel, A., </w:t>
      </w:r>
      <w:proofErr w:type="spellStart"/>
      <w:r>
        <w:rPr>
          <w:rFonts w:ascii="Times New Roman" w:eastAsia="Times New Roman" w:hAnsi="Times New Roman" w:cs="Times New Roman"/>
          <w:color w:val="000000"/>
          <w:sz w:val="24"/>
          <w:szCs w:val="24"/>
          <w:highlight w:val="white"/>
        </w:rPr>
        <w:t>Wileman</w:t>
      </w:r>
      <w:proofErr w:type="spellEnd"/>
      <w:r>
        <w:rPr>
          <w:rFonts w:ascii="Times New Roman" w:eastAsia="Times New Roman" w:hAnsi="Times New Roman" w:cs="Times New Roman"/>
          <w:color w:val="000000"/>
          <w:sz w:val="24"/>
          <w:szCs w:val="24"/>
          <w:highlight w:val="white"/>
        </w:rPr>
        <w:t xml:space="preserve">, S., &amp; Jorgensen, M. (2024) </w:t>
      </w:r>
      <w:r>
        <w:rPr>
          <w:rFonts w:ascii="Times New Roman" w:eastAsia="Times New Roman" w:hAnsi="Times New Roman" w:cs="Times New Roman"/>
          <w:color w:val="000000"/>
          <w:sz w:val="24"/>
          <w:szCs w:val="24"/>
        </w:rPr>
        <w:t xml:space="preserve">Students with Disabilities in Clinical Internships: Perspectives of College Faculty, Accessibility Advisors, and Students. </w:t>
      </w:r>
      <w:r>
        <w:rPr>
          <w:rFonts w:ascii="Times New Roman" w:eastAsia="Times New Roman" w:hAnsi="Times New Roman" w:cs="Times New Roman"/>
          <w:i/>
          <w:color w:val="000000"/>
          <w:sz w:val="24"/>
          <w:szCs w:val="24"/>
        </w:rPr>
        <w:t>Adaptech Research Network, Dawson College, Montreal, Canada.</w:t>
      </w:r>
    </w:p>
    <w:p w14:paraId="5685B83F" w14:textId="77777777" w:rsidR="004556D5"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Harris, C. (2018). Reasonable adjustments for everyone: Exploring a paradigm change for nurse educators. </w:t>
      </w:r>
      <w:r>
        <w:rPr>
          <w:rFonts w:ascii="Times New Roman" w:eastAsia="Times New Roman" w:hAnsi="Times New Roman" w:cs="Times New Roman"/>
          <w:i/>
          <w:color w:val="000000"/>
          <w:sz w:val="24"/>
          <w:szCs w:val="24"/>
        </w:rPr>
        <w:t>Nurse Education in Practice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33</w:t>
      </w:r>
      <w:r>
        <w:rPr>
          <w:rFonts w:ascii="Times New Roman" w:eastAsia="Times New Roman" w:hAnsi="Times New Roman" w:cs="Times New Roman"/>
          <w:color w:val="000000"/>
          <w:sz w:val="24"/>
          <w:szCs w:val="24"/>
        </w:rPr>
        <w:t>, 178–180. https://doi.org/10.1016/j.nepr.2018.08.009</w:t>
      </w:r>
    </w:p>
    <w:p w14:paraId="62FA2712" w14:textId="77777777" w:rsidR="004556D5"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rPr>
        <w:t>Heelan</w:t>
      </w:r>
      <w:proofErr w:type="spellEnd"/>
      <w:r>
        <w:rPr>
          <w:rFonts w:ascii="Times New Roman" w:eastAsia="Times New Roman" w:hAnsi="Times New Roman" w:cs="Times New Roman"/>
          <w:color w:val="000000"/>
          <w:sz w:val="24"/>
          <w:szCs w:val="24"/>
        </w:rPr>
        <w:t xml:space="preserve">, A., Halligan, P., &amp; Quirke, M. (2015). Universal Design for Learning and Its Application to Clinical Placements in Health Science Courses (Practice Brief). </w:t>
      </w:r>
      <w:r>
        <w:rPr>
          <w:rFonts w:ascii="Times New Roman" w:eastAsia="Times New Roman" w:hAnsi="Times New Roman" w:cs="Times New Roman"/>
          <w:i/>
          <w:color w:val="000000"/>
          <w:sz w:val="24"/>
          <w:szCs w:val="24"/>
        </w:rPr>
        <w:t>Journal of Postsecondary Education and Disability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28</w:t>
      </w:r>
      <w:r>
        <w:rPr>
          <w:rFonts w:ascii="Times New Roman" w:eastAsia="Times New Roman" w:hAnsi="Times New Roman" w:cs="Times New Roman"/>
          <w:color w:val="000000"/>
          <w:sz w:val="24"/>
          <w:szCs w:val="24"/>
        </w:rPr>
        <w:t>(4), 469–479.</w:t>
      </w:r>
    </w:p>
    <w:p w14:paraId="31B9C3BE" w14:textId="77777777" w:rsidR="004556D5"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Murphy, L., </w:t>
      </w:r>
      <w:proofErr w:type="spellStart"/>
      <w:r>
        <w:rPr>
          <w:rFonts w:ascii="Times New Roman" w:eastAsia="Times New Roman" w:hAnsi="Times New Roman" w:cs="Times New Roman"/>
          <w:color w:val="000000"/>
          <w:sz w:val="24"/>
          <w:szCs w:val="24"/>
        </w:rPr>
        <w:t>Panczykowski</w:t>
      </w:r>
      <w:proofErr w:type="spellEnd"/>
      <w:r>
        <w:rPr>
          <w:rFonts w:ascii="Times New Roman" w:eastAsia="Times New Roman" w:hAnsi="Times New Roman" w:cs="Times New Roman"/>
          <w:color w:val="000000"/>
          <w:sz w:val="24"/>
          <w:szCs w:val="24"/>
        </w:rPr>
        <w:t xml:space="preserve">, H., Fleury, L., &amp; </w:t>
      </w:r>
      <w:proofErr w:type="spellStart"/>
      <w:r>
        <w:rPr>
          <w:rFonts w:ascii="Times New Roman" w:eastAsia="Times New Roman" w:hAnsi="Times New Roman" w:cs="Times New Roman"/>
          <w:color w:val="000000"/>
          <w:sz w:val="24"/>
          <w:szCs w:val="24"/>
        </w:rPr>
        <w:t>Sudano</w:t>
      </w:r>
      <w:proofErr w:type="spellEnd"/>
      <w:r>
        <w:rPr>
          <w:rFonts w:ascii="Times New Roman" w:eastAsia="Times New Roman" w:hAnsi="Times New Roman" w:cs="Times New Roman"/>
          <w:color w:val="000000"/>
          <w:sz w:val="24"/>
          <w:szCs w:val="24"/>
        </w:rPr>
        <w:t xml:space="preserve">, B. (2020). Implementation of Universal Design for Learning in Occupational Therapy Education. </w:t>
      </w:r>
      <w:r>
        <w:rPr>
          <w:rFonts w:ascii="Times New Roman" w:eastAsia="Times New Roman" w:hAnsi="Times New Roman" w:cs="Times New Roman"/>
          <w:i/>
          <w:color w:val="000000"/>
          <w:sz w:val="24"/>
          <w:szCs w:val="24"/>
        </w:rPr>
        <w:t>Occupational Therapy in Health Care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34</w:t>
      </w:r>
      <w:r>
        <w:rPr>
          <w:rFonts w:ascii="Times New Roman" w:eastAsia="Times New Roman" w:hAnsi="Times New Roman" w:cs="Times New Roman"/>
          <w:color w:val="000000"/>
          <w:sz w:val="24"/>
          <w:szCs w:val="24"/>
        </w:rPr>
        <w:t>(4), 291–306. https://doi.org/10.1080/07380577.2020.1780663</w:t>
      </w:r>
    </w:p>
    <w:p w14:paraId="3E972092" w14:textId="77777777" w:rsidR="004556D5"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Pace, K., Pace, A., Martyn, K., Halligan, P., &amp; Gee, N. (2019). </w:t>
      </w:r>
      <w:r>
        <w:rPr>
          <w:rFonts w:ascii="Times New Roman" w:eastAsia="Times New Roman" w:hAnsi="Times New Roman" w:cs="Times New Roman"/>
          <w:i/>
          <w:color w:val="000000"/>
          <w:sz w:val="24"/>
          <w:szCs w:val="24"/>
        </w:rPr>
        <w:t>Universal Design for Learning to support nursing students: Experiences in the Field</w:t>
      </w:r>
      <w:r>
        <w:rPr>
          <w:rFonts w:ascii="Times New Roman" w:eastAsia="Times New Roman" w:hAnsi="Times New Roman" w:cs="Times New Roman"/>
          <w:color w:val="000000"/>
          <w:sz w:val="24"/>
          <w:szCs w:val="24"/>
        </w:rPr>
        <w:t>. 1–14.</w:t>
      </w:r>
    </w:p>
    <w:p w14:paraId="46C964FE" w14:textId="77777777" w:rsidR="004556D5"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Peddle, M., Bearman, M., McKenna, L., &amp; </w:t>
      </w:r>
      <w:proofErr w:type="spellStart"/>
      <w:r>
        <w:rPr>
          <w:rFonts w:ascii="Times New Roman" w:eastAsia="Times New Roman" w:hAnsi="Times New Roman" w:cs="Times New Roman"/>
          <w:color w:val="000000"/>
          <w:sz w:val="24"/>
          <w:szCs w:val="24"/>
        </w:rPr>
        <w:t>Nestel</w:t>
      </w:r>
      <w:proofErr w:type="spellEnd"/>
      <w:r>
        <w:rPr>
          <w:rFonts w:ascii="Times New Roman" w:eastAsia="Times New Roman" w:hAnsi="Times New Roman" w:cs="Times New Roman"/>
          <w:color w:val="000000"/>
          <w:sz w:val="24"/>
          <w:szCs w:val="24"/>
        </w:rPr>
        <w:t xml:space="preserve">, D. (2020). “Getting it wrong to get it right”: Faculty perspectives of learning non-technical skills via virtual patient interactions. </w:t>
      </w:r>
      <w:r>
        <w:rPr>
          <w:rFonts w:ascii="Times New Roman" w:eastAsia="Times New Roman" w:hAnsi="Times New Roman" w:cs="Times New Roman"/>
          <w:i/>
          <w:color w:val="000000"/>
          <w:sz w:val="24"/>
          <w:szCs w:val="24"/>
        </w:rPr>
        <w:t>Nurse Education Today</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88</w:t>
      </w:r>
      <w:r>
        <w:rPr>
          <w:rFonts w:ascii="Times New Roman" w:eastAsia="Times New Roman" w:hAnsi="Times New Roman" w:cs="Times New Roman"/>
          <w:color w:val="000000"/>
          <w:sz w:val="24"/>
          <w:szCs w:val="24"/>
        </w:rPr>
        <w:t>, 104381. https://doi.org/10.1016/j.nedt.2020.104381</w:t>
      </w:r>
    </w:p>
    <w:p w14:paraId="373449F4" w14:textId="77777777" w:rsidR="004556D5" w:rsidRDefault="00000000">
      <w:pPr>
        <w:pBdr>
          <w:top w:val="nil"/>
          <w:left w:val="nil"/>
          <w:bottom w:val="nil"/>
          <w:right w:val="nil"/>
          <w:between w:val="nil"/>
        </w:pBdr>
        <w:spacing w:line="276" w:lineRule="auto"/>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Tee, S., &amp; Cowen, M. (2012). Supporting students with disabilities – Promoting understanding amongst mentors in practice. </w:t>
      </w:r>
      <w:r>
        <w:rPr>
          <w:rFonts w:ascii="Times New Roman" w:eastAsia="Times New Roman" w:hAnsi="Times New Roman" w:cs="Times New Roman"/>
          <w:i/>
          <w:color w:val="000000"/>
          <w:sz w:val="24"/>
          <w:szCs w:val="24"/>
        </w:rPr>
        <w:t>Nurse Education in Practice</w:t>
      </w: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i/>
          <w:color w:val="000000"/>
          <w:sz w:val="24"/>
          <w:szCs w:val="24"/>
        </w:rPr>
        <w:t>12</w:t>
      </w:r>
      <w:r>
        <w:rPr>
          <w:rFonts w:ascii="Times New Roman" w:eastAsia="Times New Roman" w:hAnsi="Times New Roman" w:cs="Times New Roman"/>
          <w:color w:val="000000"/>
          <w:sz w:val="24"/>
          <w:szCs w:val="24"/>
        </w:rPr>
        <w:t>(1), 6–10. https://doi.org/10.1016/j.nepr.2011.03.020</w:t>
      </w:r>
    </w:p>
    <w:p w14:paraId="6C05DBC5" w14:textId="77777777" w:rsidR="004556D5" w:rsidRDefault="00000000">
      <w:pPr>
        <w:pBdr>
          <w:top w:val="nil"/>
          <w:left w:val="nil"/>
          <w:bottom w:val="nil"/>
          <w:right w:val="nil"/>
          <w:between w:val="nil"/>
        </w:pBdr>
        <w:spacing w:line="276" w:lineRule="auto"/>
        <w:rPr>
          <w:rFonts w:eastAsia="Aptos"/>
          <w:color w:val="000000"/>
        </w:rPr>
      </w:pPr>
      <w:r>
        <w:rPr>
          <w:rFonts w:eastAsia="Aptos"/>
          <w:color w:val="000000"/>
        </w:rPr>
        <w:t xml:space="preserve"> </w:t>
      </w:r>
    </w:p>
    <w:p w14:paraId="37CD155E" w14:textId="77777777" w:rsidR="004556D5" w:rsidRDefault="004556D5"/>
    <w:sectPr w:rsidR="004556D5">
      <w:footerReference w:type="default" r:id="rId12"/>
      <w:headerReference w:type="first" r:id="rId13"/>
      <w:pgSz w:w="12240" w:h="15840"/>
      <w:pgMar w:top="1440" w:right="1440" w:bottom="1440" w:left="1440" w:header="708" w:footer="708" w:gutter="0"/>
      <w:pgNumType w:start="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140F51" w14:textId="77777777" w:rsidR="00CB3D92" w:rsidRDefault="00CB3D92">
      <w:pPr>
        <w:spacing w:after="0" w:line="240" w:lineRule="auto"/>
      </w:pPr>
      <w:r>
        <w:separator/>
      </w:r>
    </w:p>
  </w:endnote>
  <w:endnote w:type="continuationSeparator" w:id="0">
    <w:p w14:paraId="0AC96BBE" w14:textId="77777777" w:rsidR="00CB3D92" w:rsidRDefault="00CB3D9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Noto Sans Symbols">
    <w:panose1 w:val="020B0604020202020204"/>
    <w:charset w:val="00"/>
    <w:family w:val="auto"/>
    <w:pitch w:val="default"/>
    <w:embedRegular r:id="rId1" w:fontKey="{8395AD72-81C9-0349-9787-A2755399188B}"/>
  </w:font>
  <w:font w:name="Courier New">
    <w:panose1 w:val="02070309020205020404"/>
    <w:charset w:val="00"/>
    <w:family w:val="modern"/>
    <w:pitch w:val="fixed"/>
    <w:sig w:usb0="E0002EFF" w:usb1="C0007843" w:usb2="00000009" w:usb3="00000000" w:csb0="000001FF" w:csb1="00000000"/>
    <w:embedRegular r:id="rId2" w:fontKey="{AE98A9DC-584E-A747-982E-3CB06BEC87A2}"/>
  </w:font>
  <w:font w:name="Aptos">
    <w:panose1 w:val="020B0004020202020204"/>
    <w:charset w:val="00"/>
    <w:family w:val="swiss"/>
    <w:pitch w:val="variable"/>
    <w:sig w:usb0="20000287" w:usb1="00000003" w:usb2="00000000" w:usb3="00000000" w:csb0="0000019F" w:csb1="00000000"/>
    <w:embedRegular r:id="rId3" w:fontKey="{8B04D024-CD7B-CD43-A595-1A9261FFF6CA}"/>
    <w:embedItalic r:id="rId4" w:fontKey="{3130C973-516D-E144-9A3B-3F8317A8FAFB}"/>
  </w:font>
  <w:font w:name="Times New Roman">
    <w:panose1 w:val="02020603050405020304"/>
    <w:charset w:val="00"/>
    <w:family w:val="roman"/>
    <w:pitch w:val="variable"/>
    <w:sig w:usb0="E0002EFF" w:usb1="C000785B" w:usb2="00000009" w:usb3="00000000" w:csb0="000001FF" w:csb1="00000000"/>
    <w:embedRegular r:id="rId5" w:fontKey="{F6389F41-528B-D44C-B72A-88BF50EABF51}"/>
    <w:embedBold r:id="rId6" w:fontKey="{D07E1077-555D-FF45-850C-D7A8A6779A59}"/>
    <w:embedItalic r:id="rId7" w:fontKey="{CA070B2D-25E9-274C-AE69-522EB7211B4A}"/>
  </w:font>
  <w:font w:name="Aptos Display">
    <w:panose1 w:val="020B0004020202020204"/>
    <w:charset w:val="00"/>
    <w:family w:val="swiss"/>
    <w:pitch w:val="variable"/>
    <w:sig w:usb0="20000287" w:usb1="00000003" w:usb2="00000000" w:usb3="00000000" w:csb0="0000019F" w:csb1="00000000"/>
    <w:embedRegular r:id="rId8" w:fontKey="{F39C2A88-228E-3841-9F44-C56126A0651F}"/>
  </w:font>
  <w:font w:name="Arial">
    <w:panose1 w:val="020B0604020202020204"/>
    <w:charset w:val="00"/>
    <w:family w:val="swiss"/>
    <w:pitch w:val="variable"/>
    <w:sig w:usb0="E0002AFF" w:usb1="C0007843" w:usb2="00000009" w:usb3="00000000" w:csb0="000001FF" w:csb1="00000000"/>
    <w:embedRegular r:id="rId9" w:fontKey="{7C05B0A6-2339-2440-8DEA-B1F00D2AD91B}"/>
    <w:embedBold r:id="rId10" w:fontKey="{B249144F-FC30-854D-A8EC-2EFE8CF734AA}"/>
  </w:font>
  <w:font w:name="Calibri">
    <w:panose1 w:val="020F0502020204030204"/>
    <w:charset w:val="00"/>
    <w:family w:val="swiss"/>
    <w:pitch w:val="variable"/>
    <w:sig w:usb0="E4002EFF" w:usb1="C200247B" w:usb2="00000009" w:usb3="00000000" w:csb0="000001FF" w:csb1="00000000"/>
    <w:embedRegular r:id="rId11" w:fontKey="{D5F88F6D-B94E-5E4A-A18C-8ADC432F956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D7BDF7" w14:textId="77777777" w:rsidR="004556D5" w:rsidRDefault="00000000">
    <w:pPr>
      <w:pBdr>
        <w:top w:val="nil"/>
        <w:left w:val="nil"/>
        <w:bottom w:val="nil"/>
        <w:right w:val="nil"/>
        <w:between w:val="nil"/>
      </w:pBdr>
      <w:tabs>
        <w:tab w:val="center" w:pos="4680"/>
        <w:tab w:val="right" w:pos="9360"/>
      </w:tabs>
      <w:spacing w:after="0" w:line="240" w:lineRule="auto"/>
      <w:jc w:val="right"/>
      <w:rPr>
        <w:rFonts w:eastAsia="Aptos"/>
        <w:color w:val="000000"/>
      </w:rPr>
    </w:pPr>
    <w:r>
      <w:rPr>
        <w:rFonts w:eastAsia="Aptos"/>
        <w:color w:val="000000"/>
      </w:rPr>
      <w:fldChar w:fldCharType="begin"/>
    </w:r>
    <w:r>
      <w:rPr>
        <w:rFonts w:eastAsia="Aptos"/>
        <w:color w:val="000000"/>
      </w:rPr>
      <w:instrText>PAGE</w:instrText>
    </w:r>
    <w:r>
      <w:rPr>
        <w:rFonts w:eastAsia="Aptos"/>
        <w:color w:val="000000"/>
      </w:rPr>
      <w:fldChar w:fldCharType="separate"/>
    </w:r>
    <w:r w:rsidR="00D47165">
      <w:rPr>
        <w:rFonts w:eastAsia="Aptos"/>
        <w:noProof/>
        <w:color w:val="000000"/>
      </w:rPr>
      <w:t>1</w:t>
    </w:r>
    <w:r>
      <w:rPr>
        <w:rFonts w:eastAsia="Aptos"/>
        <w:color w:val="000000"/>
      </w:rPr>
      <w:fldChar w:fldCharType="end"/>
    </w:r>
  </w:p>
  <w:p w14:paraId="699F86F1" w14:textId="77777777" w:rsidR="004556D5" w:rsidRDefault="004556D5">
    <w:pPr>
      <w:pBdr>
        <w:top w:val="nil"/>
        <w:left w:val="nil"/>
        <w:bottom w:val="nil"/>
        <w:right w:val="nil"/>
        <w:between w:val="nil"/>
      </w:pBdr>
      <w:tabs>
        <w:tab w:val="center" w:pos="4680"/>
        <w:tab w:val="right" w:pos="9360"/>
      </w:tabs>
      <w:spacing w:after="0" w:line="240" w:lineRule="auto"/>
      <w:rPr>
        <w:rFonts w:eastAsia="Aptos"/>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37F9500" w14:textId="77777777" w:rsidR="00CB3D92" w:rsidRDefault="00CB3D92">
      <w:pPr>
        <w:spacing w:after="0" w:line="240" w:lineRule="auto"/>
      </w:pPr>
      <w:r>
        <w:separator/>
      </w:r>
    </w:p>
  </w:footnote>
  <w:footnote w:type="continuationSeparator" w:id="0">
    <w:p w14:paraId="444EA3DA" w14:textId="77777777" w:rsidR="00CB3D92" w:rsidRDefault="00CB3D9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BD10F5" w14:textId="77777777" w:rsidR="004556D5" w:rsidRDefault="00000000">
    <w:pPr>
      <w:tabs>
        <w:tab w:val="center" w:pos="4680"/>
        <w:tab w:val="right" w:pos="9360"/>
      </w:tabs>
      <w:spacing w:after="0" w:line="240" w:lineRule="auto"/>
    </w:pPr>
    <w:r>
      <w:rPr>
        <w:rFonts w:ascii="Calibri" w:eastAsia="Calibri" w:hAnsi="Calibri" w:cs="Calibri"/>
        <w:noProof/>
      </w:rPr>
      <w:drawing>
        <wp:inline distT="0" distB="0" distL="0" distR="0" wp14:anchorId="401CF092" wp14:editId="3145F72B">
          <wp:extent cx="1123200" cy="1123200"/>
          <wp:effectExtent l="0" t="0" r="0" b="0"/>
          <wp:docPr id="193576657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1"/>
                  <a:srcRect/>
                  <a:stretch>
                    <a:fillRect/>
                  </a:stretch>
                </pic:blipFill>
                <pic:spPr>
                  <a:xfrm>
                    <a:off x="0" y="0"/>
                    <a:ext cx="1123200" cy="1123200"/>
                  </a:xfrm>
                  <a:prstGeom prst="rect">
                    <a:avLst/>
                  </a:prstGeom>
                  <a:ln/>
                </pic:spPr>
              </pic:pic>
            </a:graphicData>
          </a:graphic>
        </wp:inline>
      </w:drawing>
    </w:r>
    <w:r>
      <w:rPr>
        <w:rFonts w:ascii="Calibri" w:eastAsia="Calibri" w:hAnsi="Calibri" w:cs="Calibri"/>
      </w:rPr>
      <w:t xml:space="preserve">     </w:t>
    </w:r>
    <w:r>
      <w:rPr>
        <w:rFonts w:ascii="Calibri" w:eastAsia="Calibri" w:hAnsi="Calibri" w:cs="Calibri"/>
      </w:rPr>
      <w:tab/>
      <w:t xml:space="preserve">                                                                                                             </w:t>
    </w:r>
    <w:r>
      <w:rPr>
        <w:rFonts w:ascii="Calibri" w:eastAsia="Calibri" w:hAnsi="Calibri" w:cs="Calibri"/>
        <w:noProof/>
      </w:rPr>
      <w:drawing>
        <wp:inline distT="0" distB="0" distL="0" distR="0" wp14:anchorId="6427F633" wp14:editId="6C1CEA9A">
          <wp:extent cx="1123200" cy="1123200"/>
          <wp:effectExtent l="0" t="0" r="0" b="0"/>
          <wp:docPr id="1935766575"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2"/>
                  <a:srcRect/>
                  <a:stretch>
                    <a:fillRect/>
                  </a:stretch>
                </pic:blipFill>
                <pic:spPr>
                  <a:xfrm>
                    <a:off x="0" y="0"/>
                    <a:ext cx="1123200" cy="1123200"/>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ED91A2F"/>
    <w:multiLevelType w:val="multilevel"/>
    <w:tmpl w:val="4BA8DB9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21EE5183"/>
    <w:multiLevelType w:val="multilevel"/>
    <w:tmpl w:val="D02A5C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8451D65"/>
    <w:multiLevelType w:val="multilevel"/>
    <w:tmpl w:val="CDAE0B9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 w15:restartNumberingAfterBreak="0">
    <w:nsid w:val="57C8664F"/>
    <w:multiLevelType w:val="multilevel"/>
    <w:tmpl w:val="4DC4B7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68346F3F"/>
    <w:multiLevelType w:val="multilevel"/>
    <w:tmpl w:val="1EB0854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094084647">
    <w:abstractNumId w:val="4"/>
  </w:num>
  <w:num w:numId="2" w16cid:durableId="1393119566">
    <w:abstractNumId w:val="2"/>
  </w:num>
  <w:num w:numId="3" w16cid:durableId="1635254778">
    <w:abstractNumId w:val="3"/>
  </w:num>
  <w:num w:numId="4" w16cid:durableId="338586215">
    <w:abstractNumId w:val="0"/>
  </w:num>
  <w:num w:numId="5" w16cid:durableId="189499596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556D5"/>
    <w:rsid w:val="00220465"/>
    <w:rsid w:val="002A1DDE"/>
    <w:rsid w:val="004556D5"/>
    <w:rsid w:val="00BF1371"/>
    <w:rsid w:val="00CB3D92"/>
    <w:rsid w:val="00D47165"/>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14:docId w14:val="1F938FE8"/>
  <w15:docId w15:val="{85AB490C-F868-7046-B819-B63522726A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2B3"/>
    <w:rPr>
      <w:rFonts w:eastAsiaTheme="minorEastAsia"/>
      <w:kern w:val="2"/>
      <w:lang w:eastAsia="zh-CN"/>
    </w:rPr>
  </w:style>
  <w:style w:type="paragraph" w:styleId="Heading1">
    <w:name w:val="heading 1"/>
    <w:basedOn w:val="Normal"/>
    <w:next w:val="Normal"/>
    <w:link w:val="Heading1Char"/>
    <w:uiPriority w:val="9"/>
    <w:qFormat/>
    <w:rsid w:val="007A42B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A42B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A42B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A42B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A42B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A42B3"/>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A42B3"/>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A42B3"/>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A42B3"/>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7A42B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rsid w:val="007A42B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A42B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A42B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A42B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A42B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A42B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42B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42B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42B3"/>
    <w:rPr>
      <w:rFonts w:eastAsiaTheme="majorEastAsia" w:cstheme="majorBidi"/>
      <w:color w:val="272727" w:themeColor="text1" w:themeTint="D8"/>
    </w:rPr>
  </w:style>
  <w:style w:type="character" w:customStyle="1" w:styleId="TitleChar">
    <w:name w:val="Title Char"/>
    <w:basedOn w:val="DefaultParagraphFont"/>
    <w:link w:val="Title"/>
    <w:uiPriority w:val="10"/>
    <w:rsid w:val="007A42B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Pr>
      <w:color w:val="595959"/>
      <w:sz w:val="28"/>
      <w:szCs w:val="28"/>
    </w:rPr>
  </w:style>
  <w:style w:type="character" w:customStyle="1" w:styleId="SubtitleChar">
    <w:name w:val="Subtitle Char"/>
    <w:basedOn w:val="DefaultParagraphFont"/>
    <w:link w:val="Subtitle"/>
    <w:uiPriority w:val="11"/>
    <w:rsid w:val="007A42B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2B3"/>
    <w:pPr>
      <w:spacing w:before="160"/>
      <w:jc w:val="center"/>
    </w:pPr>
    <w:rPr>
      <w:i/>
      <w:iCs/>
      <w:color w:val="404040" w:themeColor="text1" w:themeTint="BF"/>
    </w:rPr>
  </w:style>
  <w:style w:type="character" w:customStyle="1" w:styleId="QuoteChar">
    <w:name w:val="Quote Char"/>
    <w:basedOn w:val="DefaultParagraphFont"/>
    <w:link w:val="Quote"/>
    <w:uiPriority w:val="29"/>
    <w:rsid w:val="007A42B3"/>
    <w:rPr>
      <w:i/>
      <w:iCs/>
      <w:color w:val="404040" w:themeColor="text1" w:themeTint="BF"/>
    </w:rPr>
  </w:style>
  <w:style w:type="paragraph" w:styleId="ListParagraph">
    <w:name w:val="List Paragraph"/>
    <w:basedOn w:val="Normal"/>
    <w:uiPriority w:val="34"/>
    <w:qFormat/>
    <w:rsid w:val="007A42B3"/>
    <w:pPr>
      <w:ind w:left="720"/>
      <w:contextualSpacing/>
    </w:pPr>
  </w:style>
  <w:style w:type="character" w:styleId="IntenseEmphasis">
    <w:name w:val="Intense Emphasis"/>
    <w:basedOn w:val="DefaultParagraphFont"/>
    <w:uiPriority w:val="21"/>
    <w:qFormat/>
    <w:rsid w:val="007A42B3"/>
    <w:rPr>
      <w:i/>
      <w:iCs/>
      <w:color w:val="0F4761" w:themeColor="accent1" w:themeShade="BF"/>
    </w:rPr>
  </w:style>
  <w:style w:type="paragraph" w:styleId="IntenseQuote">
    <w:name w:val="Intense Quote"/>
    <w:basedOn w:val="Normal"/>
    <w:next w:val="Normal"/>
    <w:link w:val="IntenseQuoteChar"/>
    <w:uiPriority w:val="30"/>
    <w:qFormat/>
    <w:rsid w:val="007A42B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A42B3"/>
    <w:rPr>
      <w:i/>
      <w:iCs/>
      <w:color w:val="0F4761" w:themeColor="accent1" w:themeShade="BF"/>
    </w:rPr>
  </w:style>
  <w:style w:type="character" w:styleId="IntenseReference">
    <w:name w:val="Intense Reference"/>
    <w:basedOn w:val="DefaultParagraphFont"/>
    <w:uiPriority w:val="32"/>
    <w:qFormat/>
    <w:rsid w:val="007A42B3"/>
    <w:rPr>
      <w:b/>
      <w:bCs/>
      <w:smallCaps/>
      <w:color w:val="0F4761" w:themeColor="accent1" w:themeShade="BF"/>
      <w:spacing w:val="5"/>
    </w:rPr>
  </w:style>
  <w:style w:type="paragraph" w:styleId="Footer">
    <w:name w:val="footer"/>
    <w:basedOn w:val="Normal"/>
    <w:link w:val="FooterChar"/>
    <w:uiPriority w:val="99"/>
    <w:unhideWhenUsed/>
    <w:rsid w:val="007A42B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A42B3"/>
    <w:rPr>
      <w:rFonts w:eastAsiaTheme="minorEastAsia"/>
      <w:kern w:val="2"/>
      <w:lang w:eastAsia="zh-CN"/>
    </w:rPr>
  </w:style>
  <w:style w:type="paragraph" w:customStyle="1" w:styleId="Default">
    <w:name w:val="Default"/>
    <w:rsid w:val="007A42B3"/>
    <w:pPr>
      <w:autoSpaceDE w:val="0"/>
      <w:autoSpaceDN w:val="0"/>
      <w:adjustRightInd w:val="0"/>
      <w:spacing w:after="0" w:line="240" w:lineRule="auto"/>
    </w:pPr>
    <w:rPr>
      <w:rFonts w:ascii="Times New Roman" w:hAnsi="Times New Roman" w:cs="Times New Roman"/>
      <w:color w:val="000000"/>
      <w:sz w:val="24"/>
      <w:szCs w:val="24"/>
    </w:rPr>
  </w:style>
  <w:style w:type="paragraph" w:styleId="Bibliography">
    <w:name w:val="Bibliography"/>
    <w:basedOn w:val="Normal"/>
    <w:next w:val="Normal"/>
    <w:uiPriority w:val="37"/>
    <w:unhideWhenUsed/>
    <w:rsid w:val="0051532E"/>
  </w:style>
  <w:style w:type="character" w:customStyle="1" w:styleId="markcx0u0z6vj">
    <w:name w:val="markcx0u0z6vj"/>
    <w:basedOn w:val="DefaultParagraphFont"/>
    <w:rsid w:val="005153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header1.xml.rels><?xml version="1.0" encoding="UTF-8" standalone="yes"?>
<Relationships xmlns="http://schemas.openxmlformats.org/package/2006/relationships"><Relationship Id="rId2" Type="http://schemas.openxmlformats.org/officeDocument/2006/relationships/image" Target="media/image6.jpg"/><Relationship Id="rId1" Type="http://schemas.openxmlformats.org/officeDocument/2006/relationships/image" Target="media/image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aAfcSAqHtXwW8gtndm/Dx5L8bbw==">CgMxLjAyCGguZ2pkZ3hzOAByITFtY3V5RE1DbWdfQ0Z3V2JwTjYwT1ZIZTVreHVFRGU4Mw==</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1116</Words>
  <Characters>6366</Characters>
  <Application>Microsoft Office Word</Application>
  <DocSecurity>0</DocSecurity>
  <Lines>53</Lines>
  <Paragraphs>14</Paragraphs>
  <ScaleCrop>false</ScaleCrop>
  <Company/>
  <LinksUpToDate>false</LinksUpToDate>
  <CharactersWithSpaces>7468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Susie Wileman</dc:creator>
  <cp:lastModifiedBy>Roberta Thomson</cp:lastModifiedBy>
  <cp:revision>3</cp:revision>
  <dcterms:created xsi:type="dcterms:W3CDTF">2024-05-30T18:27:00Z</dcterms:created>
  <dcterms:modified xsi:type="dcterms:W3CDTF">2024-05-31T18:02:00Z</dcterms:modified>
</cp:coreProperties>
</file>