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CD" w:rsidRPr="00FE663F" w:rsidRDefault="00FF41CD" w:rsidP="00FF41CD">
      <w:pPr>
        <w:pStyle w:val="Heading1"/>
        <w:ind w:left="720" w:hanging="720"/>
        <w:rPr>
          <w:b w:val="0"/>
          <w:sz w:val="24"/>
          <w:szCs w:val="24"/>
          <w:lang w:val="en-US"/>
        </w:rPr>
      </w:pPr>
      <w:r w:rsidRPr="00AD385C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406335" cy="452110"/>
            <wp:effectExtent l="0" t="0" r="0" b="0"/>
            <wp:wrapSquare wrapText="bothSides"/>
            <wp:docPr id="3" name="Picture 3" descr="Adaptech Research Network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ptech_alt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35" cy="45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5C" w:rsidRPr="00AD385C">
        <w:rPr>
          <w:b w:val="0"/>
          <w:sz w:val="24"/>
          <w:szCs w:val="24"/>
          <w:lang w:val="en-US"/>
        </w:rPr>
        <w:t>King, L., Havel, A.,</w:t>
      </w:r>
      <w:r w:rsidR="00AD385C">
        <w:rPr>
          <w:b w:val="0"/>
          <w:sz w:val="24"/>
          <w:szCs w:val="24"/>
          <w:lang w:val="en-US"/>
        </w:rPr>
        <w:t xml:space="preserve"> </w:t>
      </w:r>
      <w:proofErr w:type="spellStart"/>
      <w:r w:rsidR="00AD385C">
        <w:rPr>
          <w:b w:val="0"/>
          <w:sz w:val="24"/>
          <w:szCs w:val="24"/>
          <w:lang w:val="en-US"/>
        </w:rPr>
        <w:t>Lussier</w:t>
      </w:r>
      <w:proofErr w:type="spellEnd"/>
      <w:r w:rsidR="00AD385C">
        <w:rPr>
          <w:b w:val="0"/>
          <w:sz w:val="24"/>
          <w:szCs w:val="24"/>
          <w:lang w:val="en-US"/>
        </w:rPr>
        <w:t xml:space="preserve">, A., Jorgensen, M., &amp; </w:t>
      </w:r>
      <w:proofErr w:type="spellStart"/>
      <w:r w:rsidR="00AD385C">
        <w:rPr>
          <w:b w:val="0"/>
          <w:sz w:val="24"/>
          <w:szCs w:val="24"/>
          <w:lang w:val="en-US"/>
        </w:rPr>
        <w:t>Fichten</w:t>
      </w:r>
      <w:proofErr w:type="spellEnd"/>
      <w:r w:rsidR="00AD385C">
        <w:rPr>
          <w:b w:val="0"/>
          <w:sz w:val="24"/>
          <w:szCs w:val="24"/>
          <w:lang w:val="en-US"/>
        </w:rPr>
        <w:t>, C.</w:t>
      </w:r>
      <w:r w:rsidRPr="00FE663F">
        <w:rPr>
          <w:b w:val="0"/>
          <w:sz w:val="24"/>
          <w:szCs w:val="24"/>
          <w:lang w:val="en-US"/>
        </w:rPr>
        <w:t xml:space="preserve"> (2020, June). Beyond texting: How students can use smartphones outside of the cla</w:t>
      </w:r>
      <w:r w:rsidR="00B56F11">
        <w:rPr>
          <w:b w:val="0"/>
          <w:sz w:val="24"/>
          <w:szCs w:val="24"/>
          <w:lang w:val="en-US"/>
        </w:rPr>
        <w:t>ssroom. Montréal, Québec: Adaptech Research Network</w:t>
      </w:r>
      <w:bookmarkStart w:id="0" w:name="_GoBack"/>
      <w:bookmarkEnd w:id="0"/>
      <w:r w:rsidRPr="00FE663F">
        <w:rPr>
          <w:b w:val="0"/>
          <w:sz w:val="24"/>
          <w:szCs w:val="24"/>
          <w:lang w:val="en-US"/>
        </w:rPr>
        <w:t xml:space="preserve">. </w:t>
      </w:r>
    </w:p>
    <w:p w:rsidR="00646FA8" w:rsidRPr="00AD385C" w:rsidRDefault="00646FA8">
      <w:pPr>
        <w:spacing w:before="64" w:line="249" w:lineRule="auto"/>
        <w:ind w:left="876" w:right="96"/>
        <w:rPr>
          <w:sz w:val="16"/>
          <w:szCs w:val="16"/>
          <w:lang w:val="en-US"/>
        </w:rPr>
      </w:pPr>
    </w:p>
    <w:p w:rsidR="00FF41CD" w:rsidRPr="00FE663F" w:rsidRDefault="00FF41CD" w:rsidP="00587D89">
      <w:pPr>
        <w:pStyle w:val="Title"/>
        <w:jc w:val="center"/>
      </w:pPr>
      <w:r w:rsidRPr="00FE663F">
        <w:t>Beyond Texting: How Students Can Use Smartphones Outside the Classroom</w:t>
      </w:r>
    </w:p>
    <w:p w:rsidR="00FF41CD" w:rsidRPr="00FE663F" w:rsidRDefault="00FF41CD" w:rsidP="00FF41CD">
      <w:pPr>
        <w:spacing w:after="160"/>
        <w:ind w:left="450" w:hanging="450"/>
        <w:rPr>
          <w:rFonts w:asciiTheme="minorHAnsi" w:hAnsiTheme="minorHAnsi" w:cstheme="minorHAnsi"/>
          <w:color w:val="000000" w:themeColor="text1"/>
          <w:sz w:val="4"/>
          <w:szCs w:val="4"/>
          <w:shd w:val="clear" w:color="auto" w:fill="FFFFFF"/>
          <w:lang w:val="en-US"/>
        </w:rPr>
      </w:pPr>
    </w:p>
    <w:p w:rsidR="00FF41CD" w:rsidRPr="00FE663F" w:rsidRDefault="00FF41CD" w:rsidP="00AD385C">
      <w:pPr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1. Many students travel to the college by public transportation and use their smartphone for organizing assignments, completing homework and preparing for the next day’s classes while on the run.</w:t>
      </w:r>
    </w:p>
    <w:p w:rsidR="00FF41CD" w:rsidRPr="00FE663F" w:rsidRDefault="00FF41CD" w:rsidP="00AD385C">
      <w:pPr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2. Teachers like the ‘selfie’ option as proof that students have participated in a class outing such as visiting a museum or attending a play or concert.</w:t>
      </w:r>
    </w:p>
    <w:p w:rsidR="00FF41CD" w:rsidRPr="00FE663F" w:rsidRDefault="00FF41CD" w:rsidP="00AD385C">
      <w:pPr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3. Students can access online dictionaries, grammar references, translation tools and apps like Antidote or Evernote to improve literacy skills. </w:t>
      </w:r>
    </w:p>
    <w:p w:rsidR="00FF41CD" w:rsidRPr="00FE663F" w:rsidRDefault="00FF41CD" w:rsidP="00AD385C">
      <w:pPr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4. </w:t>
      </w:r>
      <w:r w:rsidR="00FE663F"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Faculty can p</w:t>
      </w: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lan a scavenger hunt where students gather photos related to </w:t>
      </w:r>
      <w:proofErr w:type="gramStart"/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course</w:t>
      </w:r>
      <w:proofErr w:type="gramEnd"/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 content. This could include architectural structures, plant specimens, historical sites, etc.</w:t>
      </w:r>
    </w:p>
    <w:p w:rsidR="00FF41CD" w:rsidRPr="00FE663F" w:rsidRDefault="00FF41CD" w:rsidP="00AD385C">
      <w:pPr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5. Students can video or audio record themselves to get feedback for physical education, music or second language courses.</w:t>
      </w:r>
    </w:p>
    <w:p w:rsidR="00FF41CD" w:rsidRPr="00FE663F" w:rsidRDefault="00FF41CD" w:rsidP="00AD385C">
      <w:pPr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6. When students “get stuck” solving math and other science-based problems at home, they can take a photo of their work and send it to their teacher to get help.</w:t>
      </w:r>
    </w:p>
    <w:p w:rsidR="00FF41CD" w:rsidRPr="00FE663F" w:rsidRDefault="00FF41CD" w:rsidP="00AD385C">
      <w:pPr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7. For courses where textbooks are available </w:t>
      </w:r>
      <w:r w:rsid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in e-text </w:t>
      </w: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format, using smartphones with </w:t>
      </w:r>
      <w:r w:rsid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text-to-speech </w:t>
      </w: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apps can lighten the </w:t>
      </w:r>
      <w:r w:rsid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 xml:space="preserve">reading </w:t>
      </w: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load.</w:t>
      </w:r>
    </w:p>
    <w:p w:rsidR="00FF41CD" w:rsidRPr="00FE663F" w:rsidRDefault="00FF41CD" w:rsidP="00AD385C">
      <w:pPr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8. Smartphones are useful for field research, especially for gathering quantitative data or recording interviews.</w:t>
      </w:r>
    </w:p>
    <w:p w:rsidR="00FF41CD" w:rsidRPr="00FE663F" w:rsidRDefault="00FF41CD" w:rsidP="00AD385C">
      <w:pPr>
        <w:spacing w:after="120" w:line="276" w:lineRule="auto"/>
        <w:ind w:left="357" w:hanging="357"/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</w:pP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9.</w:t>
      </w:r>
      <w:r w:rsidRPr="00FE663F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Pr="00FE663F">
        <w:rPr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  <w:lang w:val="en-US"/>
        </w:rPr>
        <w:t>Students can create and share digital flash cards that are easy to manipulate while memorizing on the move.</w:t>
      </w:r>
    </w:p>
    <w:p w:rsidR="00FF41CD" w:rsidRPr="00FE663F" w:rsidRDefault="00FE663F" w:rsidP="00FE663F">
      <w:pPr>
        <w:ind w:left="360" w:hanging="360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FE663F"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0794A5A">
            <wp:simplePos x="0" y="0"/>
            <wp:positionH relativeFrom="column">
              <wp:posOffset>3002280</wp:posOffset>
            </wp:positionH>
            <wp:positionV relativeFrom="paragraph">
              <wp:posOffset>188595</wp:posOffset>
            </wp:positionV>
            <wp:extent cx="609600" cy="211455"/>
            <wp:effectExtent l="0" t="0" r="0" b="0"/>
            <wp:wrapNone/>
            <wp:docPr id="2" name="Picture 2" descr="This license allows you to access and share this document as long as you don't make profits off of it or modily it. " title="Logo for 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reative Commons License" title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CD" w:rsidRPr="00FE663F">
        <w:rPr>
          <w:rFonts w:asciiTheme="minorHAnsi" w:hAnsiTheme="minorHAnsi"/>
          <w:lang w:val="en-US"/>
        </w:rPr>
        <w:t>Note 1:</w:t>
      </w:r>
      <w:r w:rsidR="00FF41CD" w:rsidRPr="00FE663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FF41CD" w:rsidRPr="00FE663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This document was written by the Adaptech Research Network</w:t>
      </w:r>
      <w:proofErr w:type="gramEnd"/>
      <w:r w:rsidR="00FF41CD" w:rsidRPr="00FE663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in the winter of 2020 and it is licensed under a Creative Commons license. </w:t>
      </w:r>
    </w:p>
    <w:p w:rsidR="00FF41CD" w:rsidRPr="00FE663F" w:rsidRDefault="00FF41CD" w:rsidP="00FE663F">
      <w:pPr>
        <w:pStyle w:val="Heading2"/>
      </w:pPr>
      <w:r w:rsidRPr="00FE663F">
        <w:t xml:space="preserve">Note 2: The Word version of this document </w:t>
      </w:r>
      <w:proofErr w:type="gramStart"/>
      <w:r w:rsidRPr="00FE663F">
        <w:t>was formatted</w:t>
      </w:r>
      <w:proofErr w:type="gramEnd"/>
      <w:r w:rsidRPr="00FE663F">
        <w:t xml:space="preserve"> to be accessible to those using </w:t>
      </w:r>
      <w:r w:rsidR="00FE663F">
        <w:t>assistive</w:t>
      </w:r>
      <w:r w:rsidRPr="00FE663F">
        <w:t xml:space="preserve"> technologies. To learn how to make your Word documents accessible, go to https://www.washington.edu/accessibility/documents/word/</w:t>
      </w:r>
    </w:p>
    <w:p w:rsidR="00646FA8" w:rsidRPr="00FE663F" w:rsidRDefault="00FF41CD" w:rsidP="00FE663F">
      <w:pPr>
        <w:ind w:left="360" w:hanging="360"/>
        <w:rPr>
          <w:sz w:val="32"/>
          <w:szCs w:val="32"/>
          <w:lang w:val="en-US"/>
        </w:rPr>
      </w:pPr>
      <w:r w:rsidRPr="00FE663F">
        <w:rPr>
          <w:rStyle w:val="Heading2Char"/>
          <w:rFonts w:asciiTheme="minorHAnsi" w:hAnsiTheme="minorHAnsi"/>
          <w:lang w:val="en-US"/>
        </w:rPr>
        <w:t>Note 3:</w:t>
      </w:r>
      <w:r w:rsidRPr="00FE663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We are grateful to </w:t>
      </w:r>
      <w:r w:rsidR="00157232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</w:t>
      </w:r>
      <w:r w:rsidRPr="00FE663F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Entente Canada-Quebec for funding this work.</w:t>
      </w:r>
    </w:p>
    <w:sectPr w:rsidR="00646FA8" w:rsidRPr="00FE663F" w:rsidSect="00FF41CD">
      <w:type w:val="continuous"/>
      <w:pgSz w:w="12240" w:h="15840"/>
      <w:pgMar w:top="520" w:right="1020" w:bottom="280" w:left="108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22B4"/>
    <w:multiLevelType w:val="hybridMultilevel"/>
    <w:tmpl w:val="161228B0"/>
    <w:lvl w:ilvl="0" w:tplc="2EA28D1A">
      <w:numFmt w:val="bullet"/>
      <w:lvlText w:val=""/>
      <w:lvlJc w:val="left"/>
      <w:pPr>
        <w:ind w:left="460" w:hanging="361"/>
      </w:pPr>
      <w:rPr>
        <w:rFonts w:hint="default"/>
        <w:w w:val="100"/>
        <w:lang w:val="en-CA" w:eastAsia="en-CA" w:bidi="en-CA"/>
      </w:rPr>
    </w:lvl>
    <w:lvl w:ilvl="1" w:tplc="89ECC466">
      <w:numFmt w:val="bullet"/>
      <w:lvlText w:val="•"/>
      <w:lvlJc w:val="left"/>
      <w:pPr>
        <w:ind w:left="1402" w:hanging="361"/>
      </w:pPr>
      <w:rPr>
        <w:rFonts w:hint="default"/>
        <w:lang w:val="en-CA" w:eastAsia="en-CA" w:bidi="en-CA"/>
      </w:rPr>
    </w:lvl>
    <w:lvl w:ilvl="2" w:tplc="051A00F2">
      <w:numFmt w:val="bullet"/>
      <w:lvlText w:val="•"/>
      <w:lvlJc w:val="left"/>
      <w:pPr>
        <w:ind w:left="2344" w:hanging="361"/>
      </w:pPr>
      <w:rPr>
        <w:rFonts w:hint="default"/>
        <w:lang w:val="en-CA" w:eastAsia="en-CA" w:bidi="en-CA"/>
      </w:rPr>
    </w:lvl>
    <w:lvl w:ilvl="3" w:tplc="B876272A">
      <w:numFmt w:val="bullet"/>
      <w:lvlText w:val="•"/>
      <w:lvlJc w:val="left"/>
      <w:pPr>
        <w:ind w:left="3286" w:hanging="361"/>
      </w:pPr>
      <w:rPr>
        <w:rFonts w:hint="default"/>
        <w:lang w:val="en-CA" w:eastAsia="en-CA" w:bidi="en-CA"/>
      </w:rPr>
    </w:lvl>
    <w:lvl w:ilvl="4" w:tplc="EA5A347A">
      <w:numFmt w:val="bullet"/>
      <w:lvlText w:val="•"/>
      <w:lvlJc w:val="left"/>
      <w:pPr>
        <w:ind w:left="4228" w:hanging="361"/>
      </w:pPr>
      <w:rPr>
        <w:rFonts w:hint="default"/>
        <w:lang w:val="en-CA" w:eastAsia="en-CA" w:bidi="en-CA"/>
      </w:rPr>
    </w:lvl>
    <w:lvl w:ilvl="5" w:tplc="B6403AD2">
      <w:numFmt w:val="bullet"/>
      <w:lvlText w:val="•"/>
      <w:lvlJc w:val="left"/>
      <w:pPr>
        <w:ind w:left="5170" w:hanging="361"/>
      </w:pPr>
      <w:rPr>
        <w:rFonts w:hint="default"/>
        <w:lang w:val="en-CA" w:eastAsia="en-CA" w:bidi="en-CA"/>
      </w:rPr>
    </w:lvl>
    <w:lvl w:ilvl="6" w:tplc="F1E68B30">
      <w:numFmt w:val="bullet"/>
      <w:lvlText w:val="•"/>
      <w:lvlJc w:val="left"/>
      <w:pPr>
        <w:ind w:left="6112" w:hanging="361"/>
      </w:pPr>
      <w:rPr>
        <w:rFonts w:hint="default"/>
        <w:lang w:val="en-CA" w:eastAsia="en-CA" w:bidi="en-CA"/>
      </w:rPr>
    </w:lvl>
    <w:lvl w:ilvl="7" w:tplc="19DA44E2">
      <w:numFmt w:val="bullet"/>
      <w:lvlText w:val="•"/>
      <w:lvlJc w:val="left"/>
      <w:pPr>
        <w:ind w:left="7054" w:hanging="361"/>
      </w:pPr>
      <w:rPr>
        <w:rFonts w:hint="default"/>
        <w:lang w:val="en-CA" w:eastAsia="en-CA" w:bidi="en-CA"/>
      </w:rPr>
    </w:lvl>
    <w:lvl w:ilvl="8" w:tplc="EF2633B8">
      <w:numFmt w:val="bullet"/>
      <w:lvlText w:val="•"/>
      <w:lvlJc w:val="left"/>
      <w:pPr>
        <w:ind w:left="7996" w:hanging="361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A8"/>
    <w:rsid w:val="00157232"/>
    <w:rsid w:val="00587D89"/>
    <w:rsid w:val="00646FA8"/>
    <w:rsid w:val="007625DB"/>
    <w:rsid w:val="00AD385C"/>
    <w:rsid w:val="00B56F11"/>
    <w:rsid w:val="00FE663F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6F5C"/>
  <w15:docId w15:val="{9ED331B5-E171-4A9E-AD76-0365D040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63F"/>
    <w:pPr>
      <w:ind w:left="360" w:hanging="360"/>
      <w:outlineLvl w:val="1"/>
    </w:pPr>
    <w:rPr>
      <w:rFonts w:asciiTheme="minorHAnsi" w:hAnsiTheme="minorHAnsi" w:cs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E663F"/>
    <w:rPr>
      <w:rFonts w:eastAsia="Arial" w:cstheme="minorHAnsi"/>
      <w:sz w:val="24"/>
      <w:szCs w:val="24"/>
      <w:lang w:eastAsia="en-CA" w:bidi="en-CA"/>
    </w:rPr>
  </w:style>
  <w:style w:type="paragraph" w:styleId="Title">
    <w:name w:val="Title"/>
    <w:basedOn w:val="Normal"/>
    <w:next w:val="Normal"/>
    <w:link w:val="TitleChar"/>
    <w:uiPriority w:val="10"/>
    <w:qFormat/>
    <w:rsid w:val="00FF41CD"/>
    <w:pPr>
      <w:widowControl/>
      <w:autoSpaceDE/>
      <w:autoSpaceDN/>
      <w:contextualSpacing/>
    </w:pPr>
    <w:rPr>
      <w:rFonts w:asciiTheme="minorHAnsi" w:eastAsiaTheme="majorEastAsia" w:hAnsiTheme="minorHAnsi" w:cstheme="minorHAnsi"/>
      <w:spacing w:val="-10"/>
      <w:kern w:val="28"/>
      <w:sz w:val="48"/>
      <w:szCs w:val="48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FF41CD"/>
    <w:rPr>
      <w:rFonts w:eastAsiaTheme="majorEastAsia" w:cstheme="minorHAnsi"/>
      <w:spacing w:val="-1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King</dc:creator>
  <cp:lastModifiedBy>Adaptech Research Network</cp:lastModifiedBy>
  <cp:revision>2</cp:revision>
  <dcterms:created xsi:type="dcterms:W3CDTF">2020-06-05T15:53:00Z</dcterms:created>
  <dcterms:modified xsi:type="dcterms:W3CDTF">2020-06-05T15:53:00Z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